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6B9" w:rsidRDefault="002C3675" w:rsidP="00321F09">
      <w:pPr>
        <w:pStyle w:val="Heading1"/>
      </w:pPr>
      <w:r>
        <w:br/>
      </w:r>
      <w:r>
        <w:br/>
      </w:r>
      <w:r w:rsidR="003F2968">
        <w:t>Recommended Updates to Net-to-Gross Ratios for Residential Lighting (CFLs)</w:t>
      </w:r>
    </w:p>
    <w:p w:rsidR="004156B9" w:rsidRDefault="004156B9" w:rsidP="000262E1">
      <w:r>
        <w:t>This report contains the results of an assessment of net-to-gross ratio (NTGR) estimates for CFLs distributed through upstream retail channels.</w:t>
      </w:r>
      <w:r w:rsidR="001D026B">
        <w:t xml:space="preserve"> </w:t>
      </w:r>
      <w:r>
        <w:t xml:space="preserve"> The goal of this assessment was to:</w:t>
      </w:r>
    </w:p>
    <w:p w:rsidR="004156B9" w:rsidRDefault="004156B9" w:rsidP="000262E1">
      <w:pPr>
        <w:pStyle w:val="ListParagraph"/>
        <w:numPr>
          <w:ilvl w:val="0"/>
          <w:numId w:val="20"/>
        </w:numPr>
      </w:pPr>
      <w:r>
        <w:t>Compare current DEER NTGR estimates to CFL NTGR estimates from the 2006-2008 impact evaluation;</w:t>
      </w:r>
    </w:p>
    <w:p w:rsidR="004156B9" w:rsidRDefault="004156B9" w:rsidP="008C0FA7">
      <w:pPr>
        <w:pStyle w:val="ListParagraph"/>
        <w:numPr>
          <w:ilvl w:val="0"/>
          <w:numId w:val="26"/>
        </w:numPr>
      </w:pPr>
      <w:r>
        <w:t>Compare methods and sample sizes used to derive CFL NTGR estimates (current DEER v. 2006-2008 impact evaluation);</w:t>
      </w:r>
    </w:p>
    <w:p w:rsidR="00BF6E94" w:rsidRDefault="00BF6E94" w:rsidP="00BF6E94">
      <w:pPr>
        <w:pStyle w:val="ListParagraph"/>
        <w:numPr>
          <w:ilvl w:val="0"/>
          <w:numId w:val="26"/>
        </w:numPr>
      </w:pPr>
      <w:r>
        <w:t>Review CFL NTGR estimates estimated by channel and product type (basic v. specialty, or “advanced”</w:t>
      </w:r>
      <w:r>
        <w:rPr>
          <w:rStyle w:val="FootnoteReference"/>
        </w:rPr>
        <w:footnoteReference w:id="1"/>
      </w:r>
      <w:r>
        <w:t>), assess whether changes in market conditions are likely to change these values over time and assess the pros and cons of adopting NTGR estimates at the sales channel , product type or technology level</w:t>
      </w:r>
    </w:p>
    <w:p w:rsidR="00BF6E94" w:rsidRDefault="00BF6E94" w:rsidP="00BF6E94">
      <w:pPr>
        <w:pStyle w:val="ListParagraph"/>
        <w:numPr>
          <w:ilvl w:val="0"/>
          <w:numId w:val="26"/>
        </w:numPr>
      </w:pPr>
      <w:r>
        <w:t>Recommend a final NTGR estimate for the 2011 update in the near term</w:t>
      </w:r>
    </w:p>
    <w:p w:rsidR="004156B9" w:rsidRDefault="004156B9" w:rsidP="008C0FA7">
      <w:pPr>
        <w:pStyle w:val="ListParagraph"/>
        <w:numPr>
          <w:ilvl w:val="0"/>
          <w:numId w:val="26"/>
        </w:numPr>
      </w:pPr>
      <w:r>
        <w:t>Identify factors likely to lead to changes in CFL NTGR estimates over next three years</w:t>
      </w:r>
      <w:r w:rsidR="001D026B">
        <w:t>; and</w:t>
      </w:r>
      <w:r w:rsidR="00AE2568">
        <w:t xml:space="preserve"> </w:t>
      </w:r>
    </w:p>
    <w:p w:rsidR="00AE2568" w:rsidRDefault="00AE2568" w:rsidP="008C0FA7">
      <w:pPr>
        <w:pStyle w:val="ListParagraph"/>
        <w:numPr>
          <w:ilvl w:val="0"/>
          <w:numId w:val="26"/>
        </w:numPr>
      </w:pPr>
      <w:r>
        <w:t>Assess current data and tools available for adjusting CFL NTGR estimates over time</w:t>
      </w:r>
      <w:r w:rsidR="001D026B">
        <w:t>.</w:t>
      </w:r>
    </w:p>
    <w:p w:rsidR="000262E1" w:rsidRDefault="000262E1" w:rsidP="000262E1">
      <w:pPr>
        <w:pStyle w:val="Halfline"/>
      </w:pPr>
    </w:p>
    <w:p w:rsidR="00AE2568" w:rsidRDefault="00AE2568" w:rsidP="000262E1">
      <w:r>
        <w:t>We begin with a brief summary of the NTGR results from the 2006-2008 impact evaluation</w:t>
      </w:r>
      <w:r>
        <w:rPr>
          <w:rStyle w:val="FootnoteReference"/>
        </w:rPr>
        <w:footnoteReference w:id="2"/>
      </w:r>
      <w:r>
        <w:t xml:space="preserve"> followed by a comparison of these results to the current DEER values.</w:t>
      </w:r>
      <w:r w:rsidR="001D026B">
        <w:t xml:space="preserve"> </w:t>
      </w:r>
      <w:r>
        <w:t xml:space="preserve"> We then describe some relevant changes to the Upstream Lighting Program from 2006-2008 to 2010 through Q1 2011</w:t>
      </w:r>
      <w:r w:rsidR="00BF6E94">
        <w:t xml:space="preserve"> and assess their possible effects on NTGR</w:t>
      </w:r>
      <w:r>
        <w:t xml:space="preserve">. </w:t>
      </w:r>
      <w:r w:rsidR="001D026B">
        <w:t xml:space="preserve"> </w:t>
      </w:r>
      <w:r w:rsidR="00BF6E94">
        <w:t xml:space="preserve"> </w:t>
      </w:r>
      <w:r>
        <w:t xml:space="preserve"> </w:t>
      </w:r>
      <w:r w:rsidR="00BF6E94">
        <w:t>After performing some sensitivity analysis on the channel level NTGR estimates, we</w:t>
      </w:r>
      <w:r>
        <w:t xml:space="preserve"> present our </w:t>
      </w:r>
      <w:r w:rsidR="00BF6E94">
        <w:t xml:space="preserve">final </w:t>
      </w:r>
      <w:r>
        <w:t xml:space="preserve">recommendation for </w:t>
      </w:r>
      <w:r w:rsidR="0000336D">
        <w:t xml:space="preserve">a </w:t>
      </w:r>
      <w:r w:rsidR="00BF6E94">
        <w:t>technology</w:t>
      </w:r>
      <w:r w:rsidR="0000336D">
        <w:t xml:space="preserve"> level NTGR of 0.54 for upstream CFL programs in the residential sector. </w:t>
      </w:r>
      <w:r w:rsidR="001D026B">
        <w:t xml:space="preserve"> </w:t>
      </w:r>
      <w:r>
        <w:t xml:space="preserve"> The final two sections describe factors that will lead to changes in CFL NTGR estimates beyond the current program cycle (2013-2014) and our recommend</w:t>
      </w:r>
      <w:r w:rsidR="0000336D">
        <w:t>ed</w:t>
      </w:r>
      <w:r>
        <w:t xml:space="preserve"> approach to collecting the needed data to adjust CFL NTGR estimates over time. </w:t>
      </w:r>
    </w:p>
    <w:p w:rsidR="007568CF" w:rsidRDefault="007568CF" w:rsidP="007568CF">
      <w:pPr>
        <w:pStyle w:val="Heading2"/>
      </w:pPr>
      <w:r>
        <w:lastRenderedPageBreak/>
        <w:t>NTGR Results from 2006-2008 Impact Evaluation</w:t>
      </w:r>
    </w:p>
    <w:p w:rsidR="00C74561" w:rsidRDefault="007568CF" w:rsidP="007568CF">
      <w:r>
        <w:t xml:space="preserve">In the 2006-2008 </w:t>
      </w:r>
      <w:r w:rsidR="00C74561">
        <w:t xml:space="preserve">impact evaluation, </w:t>
      </w:r>
      <w:r w:rsidRPr="00841358">
        <w:t xml:space="preserve">NTGR estimates were developed </w:t>
      </w:r>
      <w:r w:rsidR="00A0491E">
        <w:t>for all CFLs</w:t>
      </w:r>
      <w:r w:rsidR="00A0491E">
        <w:rPr>
          <w:rStyle w:val="FootnoteReference"/>
        </w:rPr>
        <w:footnoteReference w:id="3"/>
      </w:r>
      <w:r w:rsidR="00A0491E">
        <w:t xml:space="preserve"> </w:t>
      </w:r>
      <w:r w:rsidRPr="00841358">
        <w:t>using multiple methods which produced a range of results</w:t>
      </w:r>
      <w:r>
        <w:t xml:space="preserve">, as shown in </w:t>
      </w:r>
      <w:fldSimple w:instr=" REF _Ref307399255 ">
        <w:r w:rsidR="00321F09">
          <w:t xml:space="preserve">Table </w:t>
        </w:r>
        <w:r w:rsidR="00321F09">
          <w:rPr>
            <w:noProof/>
          </w:rPr>
          <w:t>8</w:t>
        </w:r>
        <w:r w:rsidR="00321F09">
          <w:noBreakHyphen/>
        </w:r>
        <w:r w:rsidR="00321F09">
          <w:rPr>
            <w:noProof/>
          </w:rPr>
          <w:t>1</w:t>
        </w:r>
      </w:fldSimple>
      <w:r w:rsidRPr="00841358">
        <w:t>.</w:t>
      </w:r>
      <w:r w:rsidR="001D026B">
        <w:t xml:space="preserve"> </w:t>
      </w:r>
      <w:r w:rsidRPr="00841358">
        <w:t xml:space="preserve"> </w:t>
      </w:r>
      <w:r>
        <w:t xml:space="preserve">As part of the evaluation effort, </w:t>
      </w:r>
      <w:r w:rsidRPr="00841358">
        <w:t>the validity of each method/estimate</w:t>
      </w:r>
      <w:r>
        <w:t xml:space="preserve"> was considered and assessed</w:t>
      </w:r>
      <w:r w:rsidRPr="00841358">
        <w:t>, at the channel level where available</w:t>
      </w:r>
      <w:r>
        <w:t xml:space="preserve">. </w:t>
      </w:r>
      <w:r w:rsidR="001D026B">
        <w:t xml:space="preserve"> </w:t>
      </w:r>
      <w:r>
        <w:t>T</w:t>
      </w:r>
      <w:r w:rsidRPr="00841358">
        <w:t xml:space="preserve">he relative strengths and weaknesses of each </w:t>
      </w:r>
      <w:r>
        <w:t xml:space="preserve">were presented and discussed in the 2006-2008 </w:t>
      </w:r>
      <w:r w:rsidR="00C74561">
        <w:t xml:space="preserve">impact evaluation </w:t>
      </w:r>
      <w:r>
        <w:t>report</w:t>
      </w:r>
      <w:r w:rsidR="00C74561">
        <w:t>.</w:t>
      </w:r>
      <w:r>
        <w:t xml:space="preserve"> </w:t>
      </w:r>
    </w:p>
    <w:p w:rsidR="007568CF" w:rsidRDefault="007568CF" w:rsidP="007568CF">
      <w:r>
        <w:t xml:space="preserve">The final recommended </w:t>
      </w:r>
      <w:r w:rsidR="00C74561">
        <w:t xml:space="preserve">CFL </w:t>
      </w:r>
      <w:r>
        <w:t xml:space="preserve">NTGR estimates for </w:t>
      </w:r>
      <w:r w:rsidR="00C74561">
        <w:t xml:space="preserve">the </w:t>
      </w:r>
      <w:r>
        <w:t xml:space="preserve">2006-2008 </w:t>
      </w:r>
      <w:r w:rsidR="00C74561">
        <w:t xml:space="preserve">Upstream Lighting Program </w:t>
      </w:r>
      <w:r>
        <w:t xml:space="preserve">are </w:t>
      </w:r>
      <w:r w:rsidR="00C74561">
        <w:t xml:space="preserve">also </w:t>
      </w:r>
      <w:r>
        <w:t xml:space="preserve">presented in </w:t>
      </w:r>
      <w:fldSimple w:instr=" REF _Ref307399255 ">
        <w:r w:rsidR="00851D5B">
          <w:t xml:space="preserve">Table </w:t>
        </w:r>
        <w:r w:rsidR="00851D5B">
          <w:rPr>
            <w:noProof/>
          </w:rPr>
          <w:t>8</w:t>
        </w:r>
        <w:r w:rsidR="00851D5B">
          <w:noBreakHyphen/>
        </w:r>
        <w:r w:rsidR="00851D5B">
          <w:rPr>
            <w:noProof/>
          </w:rPr>
          <w:t>1</w:t>
        </w:r>
      </w:fldSimple>
      <w:r w:rsidR="00867F3B">
        <w:t xml:space="preserve"> by sales channel. </w:t>
      </w:r>
      <w:r w:rsidR="00BF6E94">
        <w:t xml:space="preserve"> </w:t>
      </w:r>
      <w:r w:rsidR="00867F3B">
        <w:t>These estimates</w:t>
      </w:r>
      <w:r>
        <w:t xml:space="preserve"> reflect the evaluators’ best judgment based on a preponderance of the evidence</w:t>
      </w:r>
      <w:r w:rsidR="00BF6E94">
        <w:t xml:space="preserve"> found using different methods of estimating the net impact of the program in each sales channel</w:t>
      </w:r>
      <w:r>
        <w:t>.</w:t>
      </w:r>
    </w:p>
    <w:p w:rsidR="007568CF" w:rsidRPr="007568CF" w:rsidRDefault="00E300F6" w:rsidP="00E300F6">
      <w:pPr>
        <w:pStyle w:val="Caption"/>
        <w:rPr>
          <w:b w:val="0"/>
        </w:rPr>
      </w:pPr>
      <w:bookmarkStart w:id="0" w:name="_Ref307925576"/>
      <w:bookmarkStart w:id="1" w:name="_Ref307399255"/>
      <w:r>
        <w:lastRenderedPageBreak/>
        <w:t xml:space="preserve">Table </w:t>
      </w:r>
      <w:r w:rsidR="00C66EDC">
        <w:fldChar w:fldCharType="begin"/>
      </w:r>
      <w:r w:rsidR="00867F3B">
        <w:instrText xml:space="preserve"> STYLEREF 1 \s </w:instrText>
      </w:r>
      <w:r w:rsidR="00C66EDC">
        <w:fldChar w:fldCharType="separate"/>
      </w:r>
      <w:r w:rsidR="00321F09">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321F09">
        <w:rPr>
          <w:noProof/>
        </w:rPr>
        <w:t>1</w:t>
      </w:r>
      <w:r w:rsidR="00C66EDC">
        <w:fldChar w:fldCharType="end"/>
      </w:r>
      <w:bookmarkEnd w:id="0"/>
      <w:bookmarkEnd w:id="1"/>
      <w:r>
        <w:t xml:space="preserve">: </w:t>
      </w:r>
      <w:r w:rsidR="00C74561" w:rsidRPr="00E300F6">
        <w:t xml:space="preserve">CFL </w:t>
      </w:r>
      <w:r w:rsidR="007568CF" w:rsidRPr="00E300F6">
        <w:t xml:space="preserve">NTGR Estimates by Method and Final Recommended </w:t>
      </w:r>
      <w:r w:rsidR="00D37B46" w:rsidRPr="00E300F6">
        <w:t xml:space="preserve">CFL </w:t>
      </w:r>
      <w:r w:rsidR="007568CF" w:rsidRPr="00E300F6">
        <w:t xml:space="preserve">NTGR Estimates from 2006-2008 </w:t>
      </w:r>
      <w:r w:rsidR="00D37B46" w:rsidRPr="00E300F6">
        <w:t xml:space="preserve">Upstream Lighting Program </w:t>
      </w:r>
      <w:r w:rsidR="007568CF" w:rsidRPr="00E300F6">
        <w:t>Impact Evaluation</w:t>
      </w:r>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5" w:type="dxa"/>
          <w:right w:w="115" w:type="dxa"/>
        </w:tblCellMar>
        <w:tblLook w:val="04A0"/>
      </w:tblPr>
      <w:tblGrid>
        <w:gridCol w:w="1375"/>
        <w:gridCol w:w="1145"/>
        <w:gridCol w:w="1015"/>
        <w:gridCol w:w="900"/>
        <w:gridCol w:w="710"/>
        <w:gridCol w:w="972"/>
        <w:gridCol w:w="1288"/>
        <w:gridCol w:w="990"/>
        <w:gridCol w:w="965"/>
      </w:tblGrid>
      <w:tr w:rsidR="007568CF" w:rsidRPr="000262E1" w:rsidTr="008D16F3">
        <w:trPr>
          <w:cantSplit/>
        </w:trPr>
        <w:tc>
          <w:tcPr>
            <w:tcW w:w="1375" w:type="dxa"/>
            <w:vMerge w:val="restart"/>
            <w:tcBorders>
              <w:top w:val="single" w:sz="12"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Channel</w:t>
            </w:r>
          </w:p>
        </w:tc>
        <w:tc>
          <w:tcPr>
            <w:tcW w:w="1145" w:type="dxa"/>
            <w:vMerge w:val="restart"/>
            <w:tcBorders>
              <w:top w:val="single" w:sz="12" w:space="0" w:color="auto"/>
              <w:bottom w:val="single" w:sz="12" w:space="0" w:color="auto"/>
            </w:tcBorders>
            <w:shd w:val="pct20" w:color="auto" w:fill="auto"/>
            <w:textDirection w:val="btLr"/>
            <w:vAlign w:val="center"/>
            <w:hideMark/>
          </w:tcPr>
          <w:p w:rsidR="007568CF" w:rsidRPr="000262E1" w:rsidRDefault="00E300F6" w:rsidP="008D16F3">
            <w:pPr>
              <w:keepNext/>
              <w:keepLines/>
              <w:spacing w:before="40" w:after="40" w:line="240" w:lineRule="auto"/>
              <w:ind w:left="113" w:right="113"/>
              <w:jc w:val="left"/>
              <w:rPr>
                <w:b/>
                <w:color w:val="000000"/>
                <w:sz w:val="20"/>
                <w:szCs w:val="20"/>
              </w:rPr>
            </w:pPr>
            <w:r>
              <w:rPr>
                <w:b/>
                <w:color w:val="000000"/>
                <w:sz w:val="20"/>
                <w:szCs w:val="20"/>
              </w:rPr>
              <w:t>%</w:t>
            </w:r>
            <w:r w:rsidR="00D37B46" w:rsidRPr="000262E1">
              <w:rPr>
                <w:b/>
                <w:color w:val="000000"/>
                <w:sz w:val="20"/>
                <w:szCs w:val="20"/>
              </w:rPr>
              <w:t xml:space="preserve"> of CFL Shipments by Channel</w:t>
            </w:r>
          </w:p>
        </w:tc>
        <w:tc>
          <w:tcPr>
            <w:tcW w:w="5875" w:type="dxa"/>
            <w:gridSpan w:val="6"/>
            <w:tcBorders>
              <w:top w:val="single" w:sz="12" w:space="0" w:color="auto"/>
              <w:bottom w:val="single" w:sz="6" w:space="0" w:color="auto"/>
            </w:tcBorders>
            <w:shd w:val="pct20" w:color="auto" w:fill="auto"/>
            <w:vAlign w:val="bottom"/>
            <w:hideMark/>
          </w:tcPr>
          <w:p w:rsidR="007568CF" w:rsidRPr="000262E1" w:rsidRDefault="00D37B46" w:rsidP="00E300F6">
            <w:pPr>
              <w:keepNext/>
              <w:keepLines/>
              <w:spacing w:before="40" w:after="40" w:line="240" w:lineRule="auto"/>
              <w:jc w:val="center"/>
              <w:rPr>
                <w:b/>
                <w:bCs/>
                <w:color w:val="000000"/>
                <w:sz w:val="20"/>
                <w:szCs w:val="20"/>
              </w:rPr>
            </w:pPr>
            <w:r w:rsidRPr="000262E1">
              <w:rPr>
                <w:b/>
                <w:bCs/>
                <w:color w:val="000000"/>
                <w:sz w:val="20"/>
                <w:szCs w:val="20"/>
              </w:rPr>
              <w:t xml:space="preserve">CFL </w:t>
            </w:r>
            <w:r w:rsidR="007568CF" w:rsidRPr="000262E1">
              <w:rPr>
                <w:b/>
                <w:bCs/>
                <w:color w:val="000000"/>
                <w:sz w:val="20"/>
                <w:szCs w:val="20"/>
              </w:rPr>
              <w:t>NTGR Estimates by Evaluation Method</w:t>
            </w:r>
          </w:p>
        </w:tc>
        <w:tc>
          <w:tcPr>
            <w:tcW w:w="965" w:type="dxa"/>
            <w:vMerge w:val="restart"/>
            <w:tcBorders>
              <w:top w:val="single" w:sz="12"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bCs/>
                <w:color w:val="000000"/>
                <w:sz w:val="20"/>
                <w:szCs w:val="20"/>
              </w:rPr>
            </w:pPr>
            <w:r w:rsidRPr="000262E1">
              <w:rPr>
                <w:b/>
                <w:bCs/>
                <w:color w:val="000000"/>
                <w:sz w:val="20"/>
                <w:szCs w:val="20"/>
              </w:rPr>
              <w:t xml:space="preserve">Final Recommended </w:t>
            </w:r>
            <w:r w:rsidR="00D37B46" w:rsidRPr="000262E1">
              <w:rPr>
                <w:b/>
                <w:bCs/>
                <w:color w:val="000000"/>
                <w:sz w:val="20"/>
                <w:szCs w:val="20"/>
              </w:rPr>
              <w:t xml:space="preserve">CFL </w:t>
            </w:r>
            <w:r w:rsidRPr="000262E1">
              <w:rPr>
                <w:b/>
                <w:bCs/>
                <w:color w:val="000000"/>
                <w:sz w:val="20"/>
                <w:szCs w:val="20"/>
              </w:rPr>
              <w:t>NTGR</w:t>
            </w:r>
          </w:p>
        </w:tc>
      </w:tr>
      <w:tr w:rsidR="000262E1" w:rsidRPr="000262E1" w:rsidTr="008D16F3">
        <w:trPr>
          <w:cantSplit/>
        </w:trPr>
        <w:tc>
          <w:tcPr>
            <w:tcW w:w="1375" w:type="dxa"/>
            <w:vMerge/>
            <w:tcBorders>
              <w:top w:val="single" w:sz="6" w:space="0" w:color="auto"/>
              <w:bottom w:val="single" w:sz="12" w:space="0" w:color="auto"/>
            </w:tcBorders>
            <w:shd w:val="pct20" w:color="auto" w:fill="auto"/>
            <w:vAlign w:val="center"/>
            <w:hideMark/>
          </w:tcPr>
          <w:p w:rsidR="007568CF" w:rsidRPr="000262E1" w:rsidRDefault="007568CF" w:rsidP="000262E1">
            <w:pPr>
              <w:keepNext/>
              <w:keepLines/>
              <w:spacing w:before="40" w:after="40" w:line="240" w:lineRule="auto"/>
              <w:jc w:val="left"/>
              <w:rPr>
                <w:b/>
                <w:color w:val="000000"/>
                <w:sz w:val="20"/>
                <w:szCs w:val="20"/>
              </w:rPr>
            </w:pPr>
          </w:p>
        </w:tc>
        <w:tc>
          <w:tcPr>
            <w:tcW w:w="1145" w:type="dxa"/>
            <w:vMerge/>
            <w:tcBorders>
              <w:top w:val="single" w:sz="6" w:space="0" w:color="auto"/>
              <w:bottom w:val="single" w:sz="12" w:space="0" w:color="auto"/>
            </w:tcBorders>
            <w:shd w:val="pct20" w:color="auto" w:fill="auto"/>
            <w:vAlign w:val="center"/>
            <w:hideMark/>
          </w:tcPr>
          <w:p w:rsidR="007568CF" w:rsidRPr="000262E1" w:rsidRDefault="007568CF" w:rsidP="000262E1">
            <w:pPr>
              <w:keepNext/>
              <w:keepLines/>
              <w:spacing w:before="40" w:after="40" w:line="240" w:lineRule="auto"/>
              <w:jc w:val="left"/>
              <w:rPr>
                <w:b/>
                <w:color w:val="000000"/>
                <w:sz w:val="20"/>
                <w:szCs w:val="20"/>
              </w:rPr>
            </w:pPr>
          </w:p>
        </w:tc>
        <w:tc>
          <w:tcPr>
            <w:tcW w:w="1915" w:type="dxa"/>
            <w:gridSpan w:val="2"/>
            <w:tcBorders>
              <w:top w:val="single" w:sz="6" w:space="0" w:color="auto"/>
              <w:bottom w:val="single" w:sz="6" w:space="0" w:color="auto"/>
            </w:tcBorders>
            <w:shd w:val="pct20" w:color="auto" w:fill="auto"/>
            <w:vAlign w:val="bottom"/>
            <w:hideMark/>
          </w:tcPr>
          <w:p w:rsidR="007568CF" w:rsidRPr="000262E1" w:rsidRDefault="007568CF" w:rsidP="00E300F6">
            <w:pPr>
              <w:keepNext/>
              <w:keepLines/>
              <w:spacing w:before="40" w:after="40" w:line="240" w:lineRule="auto"/>
              <w:jc w:val="center"/>
              <w:rPr>
                <w:b/>
                <w:color w:val="000000"/>
                <w:sz w:val="20"/>
                <w:szCs w:val="20"/>
              </w:rPr>
            </w:pPr>
            <w:r w:rsidRPr="000262E1">
              <w:rPr>
                <w:b/>
                <w:color w:val="000000"/>
                <w:sz w:val="20"/>
                <w:szCs w:val="20"/>
              </w:rPr>
              <w:t>Self-Report</w:t>
            </w:r>
          </w:p>
        </w:tc>
        <w:tc>
          <w:tcPr>
            <w:tcW w:w="2970" w:type="dxa"/>
            <w:gridSpan w:val="3"/>
            <w:tcBorders>
              <w:top w:val="single" w:sz="6" w:space="0" w:color="auto"/>
              <w:bottom w:val="single" w:sz="6" w:space="0" w:color="auto"/>
            </w:tcBorders>
            <w:shd w:val="pct20" w:color="auto" w:fill="auto"/>
            <w:vAlign w:val="bottom"/>
            <w:hideMark/>
          </w:tcPr>
          <w:p w:rsidR="007568CF" w:rsidRPr="000262E1" w:rsidRDefault="007568CF" w:rsidP="00E300F6">
            <w:pPr>
              <w:keepNext/>
              <w:keepLines/>
              <w:spacing w:before="40" w:after="40" w:line="240" w:lineRule="auto"/>
              <w:jc w:val="center"/>
              <w:rPr>
                <w:b/>
                <w:color w:val="000000"/>
                <w:sz w:val="20"/>
                <w:szCs w:val="20"/>
              </w:rPr>
            </w:pPr>
            <w:r w:rsidRPr="000262E1">
              <w:rPr>
                <w:b/>
                <w:color w:val="000000"/>
                <w:sz w:val="20"/>
                <w:szCs w:val="20"/>
              </w:rPr>
              <w:t>Econometric Models</w:t>
            </w:r>
          </w:p>
        </w:tc>
        <w:tc>
          <w:tcPr>
            <w:tcW w:w="990" w:type="dxa"/>
            <w:vMerge w:val="restart"/>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Total Sales (Market-Based) Approach</w:t>
            </w:r>
          </w:p>
        </w:tc>
        <w:tc>
          <w:tcPr>
            <w:tcW w:w="965" w:type="dxa"/>
            <w:vMerge/>
            <w:tcBorders>
              <w:top w:val="single" w:sz="6" w:space="0" w:color="auto"/>
              <w:bottom w:val="single" w:sz="12" w:space="0" w:color="auto"/>
            </w:tcBorders>
            <w:shd w:val="pct20" w:color="auto" w:fill="auto"/>
            <w:vAlign w:val="center"/>
            <w:hideMark/>
          </w:tcPr>
          <w:p w:rsidR="007568CF" w:rsidRPr="000262E1" w:rsidRDefault="007568CF" w:rsidP="008D16F3">
            <w:pPr>
              <w:keepNext/>
              <w:keepLines/>
              <w:spacing w:before="40" w:after="40" w:line="240" w:lineRule="auto"/>
              <w:jc w:val="left"/>
              <w:rPr>
                <w:b/>
                <w:bCs/>
                <w:color w:val="000000"/>
                <w:sz w:val="20"/>
                <w:szCs w:val="20"/>
              </w:rPr>
            </w:pPr>
          </w:p>
        </w:tc>
      </w:tr>
      <w:tr w:rsidR="000262E1" w:rsidRPr="000262E1" w:rsidTr="008D16F3">
        <w:trPr>
          <w:cantSplit/>
          <w:trHeight w:val="1500"/>
        </w:trPr>
        <w:tc>
          <w:tcPr>
            <w:tcW w:w="1375" w:type="dxa"/>
            <w:vMerge/>
            <w:tcBorders>
              <w:top w:val="single" w:sz="6" w:space="0" w:color="auto"/>
              <w:bottom w:val="single" w:sz="12" w:space="0" w:color="auto"/>
            </w:tcBorders>
            <w:shd w:val="pct20" w:color="auto" w:fill="auto"/>
            <w:vAlign w:val="center"/>
            <w:hideMark/>
          </w:tcPr>
          <w:p w:rsidR="007568CF" w:rsidRPr="000262E1" w:rsidRDefault="007568CF" w:rsidP="000262E1">
            <w:pPr>
              <w:keepNext/>
              <w:keepLines/>
              <w:spacing w:before="40" w:after="40" w:line="240" w:lineRule="auto"/>
              <w:jc w:val="left"/>
              <w:rPr>
                <w:b/>
                <w:color w:val="000000"/>
                <w:sz w:val="20"/>
                <w:szCs w:val="20"/>
              </w:rPr>
            </w:pPr>
          </w:p>
        </w:tc>
        <w:tc>
          <w:tcPr>
            <w:tcW w:w="1145" w:type="dxa"/>
            <w:vMerge/>
            <w:tcBorders>
              <w:top w:val="single" w:sz="6" w:space="0" w:color="auto"/>
              <w:bottom w:val="single" w:sz="12" w:space="0" w:color="auto"/>
            </w:tcBorders>
            <w:shd w:val="pct20" w:color="auto" w:fill="auto"/>
            <w:vAlign w:val="center"/>
            <w:hideMark/>
          </w:tcPr>
          <w:p w:rsidR="007568CF" w:rsidRPr="000262E1" w:rsidRDefault="007568CF" w:rsidP="000262E1">
            <w:pPr>
              <w:keepNext/>
              <w:keepLines/>
              <w:spacing w:before="40" w:after="40" w:line="240" w:lineRule="auto"/>
              <w:jc w:val="left"/>
              <w:rPr>
                <w:b/>
                <w:color w:val="000000"/>
                <w:sz w:val="20"/>
                <w:szCs w:val="20"/>
              </w:rPr>
            </w:pPr>
          </w:p>
        </w:tc>
        <w:tc>
          <w:tcPr>
            <w:tcW w:w="1015" w:type="dxa"/>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Supplier</w:t>
            </w:r>
          </w:p>
        </w:tc>
        <w:tc>
          <w:tcPr>
            <w:tcW w:w="900" w:type="dxa"/>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Consumer Stated Preference</w:t>
            </w:r>
          </w:p>
        </w:tc>
        <w:tc>
          <w:tcPr>
            <w:tcW w:w="710" w:type="dxa"/>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Conjoint Model</w:t>
            </w:r>
          </w:p>
        </w:tc>
        <w:tc>
          <w:tcPr>
            <w:tcW w:w="972" w:type="dxa"/>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Revealed Preference Purchase Model</w:t>
            </w:r>
          </w:p>
        </w:tc>
        <w:tc>
          <w:tcPr>
            <w:tcW w:w="1288" w:type="dxa"/>
            <w:tcBorders>
              <w:top w:val="single" w:sz="6" w:space="0" w:color="auto"/>
              <w:bottom w:val="single" w:sz="12" w:space="0" w:color="auto"/>
            </w:tcBorders>
            <w:shd w:val="pct20" w:color="auto" w:fill="auto"/>
            <w:textDirection w:val="btLr"/>
            <w:vAlign w:val="center"/>
            <w:hideMark/>
          </w:tcPr>
          <w:p w:rsidR="007568CF" w:rsidRPr="000262E1" w:rsidRDefault="007568CF" w:rsidP="008D16F3">
            <w:pPr>
              <w:keepNext/>
              <w:keepLines/>
              <w:spacing w:before="40" w:after="40" w:line="240" w:lineRule="auto"/>
              <w:ind w:left="113" w:right="113"/>
              <w:jc w:val="left"/>
              <w:rPr>
                <w:b/>
                <w:color w:val="000000"/>
                <w:sz w:val="20"/>
                <w:szCs w:val="20"/>
              </w:rPr>
            </w:pPr>
            <w:r w:rsidRPr="000262E1">
              <w:rPr>
                <w:b/>
                <w:color w:val="000000"/>
                <w:sz w:val="20"/>
                <w:szCs w:val="20"/>
              </w:rPr>
              <w:t>Stated Preference Purchaser Elasticity Model</w:t>
            </w:r>
          </w:p>
        </w:tc>
        <w:tc>
          <w:tcPr>
            <w:tcW w:w="990" w:type="dxa"/>
            <w:vMerge/>
            <w:tcBorders>
              <w:top w:val="single" w:sz="6" w:space="0" w:color="auto"/>
              <w:bottom w:val="single" w:sz="12" w:space="0" w:color="auto"/>
            </w:tcBorders>
            <w:shd w:val="pct20" w:color="auto" w:fill="auto"/>
            <w:vAlign w:val="bottom"/>
            <w:hideMark/>
          </w:tcPr>
          <w:p w:rsidR="007568CF" w:rsidRPr="000262E1" w:rsidRDefault="007568CF" w:rsidP="00E300F6">
            <w:pPr>
              <w:keepNext/>
              <w:keepLines/>
              <w:spacing w:before="40" w:after="40" w:line="240" w:lineRule="auto"/>
              <w:jc w:val="center"/>
              <w:rPr>
                <w:color w:val="000000"/>
                <w:sz w:val="20"/>
                <w:szCs w:val="20"/>
              </w:rPr>
            </w:pPr>
          </w:p>
        </w:tc>
        <w:tc>
          <w:tcPr>
            <w:tcW w:w="965" w:type="dxa"/>
            <w:vMerge/>
            <w:tcBorders>
              <w:top w:val="single" w:sz="6" w:space="0" w:color="auto"/>
              <w:bottom w:val="single" w:sz="12" w:space="0" w:color="auto"/>
            </w:tcBorders>
            <w:shd w:val="pct20" w:color="auto" w:fill="auto"/>
            <w:vAlign w:val="bottom"/>
            <w:hideMark/>
          </w:tcPr>
          <w:p w:rsidR="007568CF" w:rsidRPr="000262E1" w:rsidRDefault="007568CF" w:rsidP="00E300F6">
            <w:pPr>
              <w:keepNext/>
              <w:keepLines/>
              <w:spacing w:before="40" w:after="40" w:line="240" w:lineRule="auto"/>
              <w:jc w:val="center"/>
              <w:rPr>
                <w:b/>
                <w:bCs/>
                <w:color w:val="000000"/>
                <w:sz w:val="20"/>
                <w:szCs w:val="20"/>
              </w:rPr>
            </w:pPr>
          </w:p>
        </w:tc>
      </w:tr>
      <w:tr w:rsidR="007568CF" w:rsidRPr="000262E1" w:rsidTr="008D16F3">
        <w:trPr>
          <w:cantSplit/>
        </w:trPr>
        <w:tc>
          <w:tcPr>
            <w:tcW w:w="1375"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Discount</w:t>
            </w:r>
          </w:p>
        </w:tc>
        <w:tc>
          <w:tcPr>
            <w:tcW w:w="1145"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16%</w:t>
            </w:r>
          </w:p>
        </w:tc>
        <w:tc>
          <w:tcPr>
            <w:tcW w:w="1015"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1.00</w:t>
            </w:r>
          </w:p>
        </w:tc>
        <w:tc>
          <w:tcPr>
            <w:tcW w:w="900"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0.18</w:t>
            </w:r>
          </w:p>
        </w:tc>
        <w:tc>
          <w:tcPr>
            <w:tcW w:w="710" w:type="dxa"/>
            <w:vMerge w:val="restart"/>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972"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1288"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0.52</w:t>
            </w:r>
          </w:p>
        </w:tc>
        <w:tc>
          <w:tcPr>
            <w:tcW w:w="990" w:type="dxa"/>
            <w:vMerge w:val="restart"/>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965" w:type="dxa"/>
            <w:tcBorders>
              <w:top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0.90</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Drug</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9%</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0.73</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0.36</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0.33</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0.31</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0.32</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Grocery - chain</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15%</w:t>
            </w:r>
          </w:p>
        </w:tc>
        <w:tc>
          <w:tcPr>
            <w:tcW w:w="1015" w:type="dxa"/>
            <w:vMerge w:val="restart"/>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0.81</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0.14</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0.33</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0.29</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vMerge w:val="restart"/>
            <w:shd w:val="clear" w:color="auto" w:fill="auto"/>
            <w:noWrap/>
            <w:vAlign w:val="center"/>
            <w:hideMark/>
          </w:tcPr>
          <w:p w:rsidR="00B8720B" w:rsidRDefault="00B8720B" w:rsidP="008D16F3">
            <w:pPr>
              <w:keepNext/>
              <w:keepLines/>
              <w:spacing w:before="40" w:after="40" w:line="240" w:lineRule="auto"/>
              <w:jc w:val="center"/>
              <w:rPr>
                <w:b/>
                <w:bCs/>
                <w:color w:val="000000"/>
                <w:sz w:val="20"/>
                <w:szCs w:val="20"/>
              </w:rPr>
            </w:pPr>
            <w:r>
              <w:rPr>
                <w:b/>
                <w:bCs/>
                <w:color w:val="000000"/>
                <w:sz w:val="20"/>
                <w:szCs w:val="20"/>
              </w:rPr>
              <w:t>0.33</w:t>
            </w:r>
          </w:p>
          <w:p w:rsidR="00B8720B" w:rsidRDefault="00B8720B" w:rsidP="008D16F3">
            <w:pPr>
              <w:keepNext/>
              <w:keepLines/>
              <w:spacing w:before="40" w:after="40" w:line="240" w:lineRule="auto"/>
              <w:jc w:val="center"/>
              <w:rPr>
                <w:b/>
                <w:bCs/>
                <w:color w:val="000000"/>
                <w:sz w:val="20"/>
                <w:szCs w:val="20"/>
              </w:rPr>
            </w:pPr>
          </w:p>
          <w:p w:rsidR="007568CF" w:rsidRPr="000262E1" w:rsidRDefault="00B8720B" w:rsidP="008D16F3">
            <w:pPr>
              <w:keepNext/>
              <w:keepLines/>
              <w:spacing w:before="40" w:after="40" w:line="240" w:lineRule="auto"/>
              <w:jc w:val="center"/>
              <w:rPr>
                <w:b/>
                <w:bCs/>
                <w:color w:val="000000"/>
                <w:sz w:val="20"/>
                <w:szCs w:val="20"/>
              </w:rPr>
            </w:pPr>
            <w:r>
              <w:rPr>
                <w:b/>
                <w:bCs/>
                <w:color w:val="000000"/>
                <w:sz w:val="20"/>
                <w:szCs w:val="20"/>
              </w:rPr>
              <w:t xml:space="preserve">0.90 </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Grocery - small</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21%</w:t>
            </w:r>
          </w:p>
        </w:tc>
        <w:tc>
          <w:tcPr>
            <w:tcW w:w="1015"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0.11</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0.51</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vMerge/>
            <w:vAlign w:val="center"/>
            <w:hideMark/>
          </w:tcPr>
          <w:p w:rsidR="007568CF" w:rsidRPr="000262E1" w:rsidRDefault="007568CF" w:rsidP="008D16F3">
            <w:pPr>
              <w:keepNext/>
              <w:keepLines/>
              <w:spacing w:before="40" w:after="40" w:line="240" w:lineRule="auto"/>
              <w:jc w:val="center"/>
              <w:rPr>
                <w:b/>
                <w:bCs/>
                <w:color w:val="000000"/>
                <w:sz w:val="20"/>
                <w:szCs w:val="20"/>
              </w:rPr>
            </w:pP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Hardware</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5%</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0.60</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0.06</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0.20</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0.50</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0.35</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Home Improvement</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8%</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0.46</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0.20</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0.20</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0.52</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0.36</w:t>
            </w:r>
          </w:p>
        </w:tc>
      </w:tr>
      <w:tr w:rsidR="007568CF" w:rsidRPr="000262E1" w:rsidTr="008D16F3">
        <w:trPr>
          <w:cantSplit/>
        </w:trPr>
        <w:tc>
          <w:tcPr>
            <w:tcW w:w="1375" w:type="dxa"/>
            <w:shd w:val="clear" w:color="auto" w:fill="auto"/>
            <w:noWrap/>
            <w:vAlign w:val="center"/>
            <w:hideMark/>
          </w:tcPr>
          <w:p w:rsidR="007568CF" w:rsidRPr="000262E1" w:rsidRDefault="008D16F3" w:rsidP="008D16F3">
            <w:pPr>
              <w:keepNext/>
              <w:keepLines/>
              <w:spacing w:before="40" w:after="40" w:line="240" w:lineRule="auto"/>
              <w:jc w:val="left"/>
              <w:rPr>
                <w:color w:val="000000"/>
                <w:sz w:val="20"/>
                <w:szCs w:val="20"/>
              </w:rPr>
            </w:pPr>
            <w:r>
              <w:rPr>
                <w:color w:val="000000"/>
                <w:sz w:val="20"/>
                <w:szCs w:val="20"/>
              </w:rPr>
              <w:t>Lighting and</w:t>
            </w:r>
            <w:r w:rsidR="007568CF" w:rsidRPr="000262E1">
              <w:rPr>
                <w:color w:val="000000"/>
                <w:sz w:val="20"/>
                <w:szCs w:val="20"/>
              </w:rPr>
              <w:t xml:space="preserve"> Electronics</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1%</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0.83</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0.36</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Mass Merchandise</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5%</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0.37</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0.10</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0.33</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0.48</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0.41</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color w:val="000000"/>
                <w:sz w:val="20"/>
                <w:szCs w:val="20"/>
              </w:rPr>
            </w:pPr>
            <w:r w:rsidRPr="000262E1">
              <w:rPr>
                <w:color w:val="000000"/>
                <w:sz w:val="20"/>
                <w:szCs w:val="20"/>
              </w:rPr>
              <w:t>Membership Club</w:t>
            </w:r>
          </w:p>
        </w:tc>
        <w:tc>
          <w:tcPr>
            <w:tcW w:w="114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19%</w:t>
            </w: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0.63</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0.12</w:t>
            </w:r>
          </w:p>
        </w:tc>
        <w:tc>
          <w:tcPr>
            <w:tcW w:w="71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72"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0.33</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0.32</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0.33</w:t>
            </w:r>
          </w:p>
        </w:tc>
      </w:tr>
      <w:tr w:rsidR="008D16F3" w:rsidRPr="000262E1" w:rsidTr="008D16F3">
        <w:trPr>
          <w:cantSplit/>
        </w:trPr>
        <w:tc>
          <w:tcPr>
            <w:tcW w:w="9360" w:type="dxa"/>
            <w:gridSpan w:val="9"/>
            <w:shd w:val="clear" w:color="auto" w:fill="auto"/>
            <w:noWrap/>
            <w:vAlign w:val="center"/>
            <w:hideMark/>
          </w:tcPr>
          <w:p w:rsidR="008D16F3" w:rsidRPr="000262E1" w:rsidRDefault="008D16F3" w:rsidP="008D16F3">
            <w:pPr>
              <w:keepNext/>
              <w:keepLines/>
              <w:spacing w:before="40" w:after="40" w:line="240" w:lineRule="auto"/>
              <w:jc w:val="left"/>
              <w:rPr>
                <w:b/>
                <w:bCs/>
                <w:color w:val="000000"/>
                <w:sz w:val="20"/>
                <w:szCs w:val="20"/>
              </w:rPr>
            </w:pP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b/>
                <w:bCs/>
                <w:color w:val="000000"/>
                <w:sz w:val="20"/>
                <w:szCs w:val="20"/>
              </w:rPr>
            </w:pPr>
            <w:r w:rsidRPr="000262E1">
              <w:rPr>
                <w:b/>
                <w:bCs/>
                <w:color w:val="000000"/>
                <w:sz w:val="20"/>
                <w:szCs w:val="20"/>
              </w:rPr>
              <w:t>All IOUs</w:t>
            </w:r>
          </w:p>
        </w:tc>
        <w:tc>
          <w:tcPr>
            <w:tcW w:w="1145" w:type="dxa"/>
            <w:vMerge w:val="restart"/>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0.74</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0.15</w:t>
            </w:r>
          </w:p>
        </w:tc>
        <w:tc>
          <w:tcPr>
            <w:tcW w:w="71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0.06</w:t>
            </w:r>
          </w:p>
        </w:tc>
        <w:tc>
          <w:tcPr>
            <w:tcW w:w="972" w:type="dxa"/>
            <w:vMerge w:val="restart"/>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0.42</w:t>
            </w:r>
          </w:p>
        </w:tc>
        <w:tc>
          <w:tcPr>
            <w:tcW w:w="99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0.23 (low) – 0.65 (high)</w:t>
            </w: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0.54</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b/>
                <w:bCs/>
                <w:color w:val="000000"/>
                <w:sz w:val="20"/>
                <w:szCs w:val="20"/>
              </w:rPr>
            </w:pPr>
            <w:r w:rsidRPr="000262E1">
              <w:rPr>
                <w:b/>
                <w:bCs/>
                <w:color w:val="000000"/>
                <w:sz w:val="20"/>
                <w:szCs w:val="20"/>
              </w:rPr>
              <w:t>PG&amp;E</w:t>
            </w:r>
          </w:p>
        </w:tc>
        <w:tc>
          <w:tcPr>
            <w:tcW w:w="1145"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0.71</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0.18</w:t>
            </w:r>
          </w:p>
        </w:tc>
        <w:tc>
          <w:tcPr>
            <w:tcW w:w="71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0.06</w:t>
            </w:r>
          </w:p>
        </w:tc>
        <w:tc>
          <w:tcPr>
            <w:tcW w:w="972"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0.40</w:t>
            </w:r>
          </w:p>
        </w:tc>
        <w:tc>
          <w:tcPr>
            <w:tcW w:w="990" w:type="dxa"/>
            <w:vMerge w:val="restart"/>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n/a</w:t>
            </w: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0.49</w:t>
            </w:r>
          </w:p>
        </w:tc>
      </w:tr>
      <w:tr w:rsidR="007568CF" w:rsidRPr="000262E1" w:rsidTr="008D16F3">
        <w:trPr>
          <w:cantSplit/>
        </w:trPr>
        <w:tc>
          <w:tcPr>
            <w:tcW w:w="1375" w:type="dxa"/>
            <w:shd w:val="clear" w:color="auto" w:fill="auto"/>
            <w:noWrap/>
            <w:vAlign w:val="center"/>
            <w:hideMark/>
          </w:tcPr>
          <w:p w:rsidR="007568CF" w:rsidRPr="000262E1" w:rsidRDefault="007568CF" w:rsidP="008D16F3">
            <w:pPr>
              <w:keepNext/>
              <w:keepLines/>
              <w:spacing w:before="40" w:after="40" w:line="240" w:lineRule="auto"/>
              <w:jc w:val="left"/>
              <w:rPr>
                <w:b/>
                <w:bCs/>
                <w:color w:val="000000"/>
                <w:sz w:val="20"/>
                <w:szCs w:val="20"/>
              </w:rPr>
            </w:pPr>
            <w:r w:rsidRPr="000262E1">
              <w:rPr>
                <w:b/>
                <w:bCs/>
                <w:color w:val="000000"/>
                <w:sz w:val="20"/>
                <w:szCs w:val="20"/>
              </w:rPr>
              <w:t>SCE</w:t>
            </w:r>
          </w:p>
        </w:tc>
        <w:tc>
          <w:tcPr>
            <w:tcW w:w="1145"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015"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0.80</w:t>
            </w:r>
          </w:p>
        </w:tc>
        <w:tc>
          <w:tcPr>
            <w:tcW w:w="90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0.14</w:t>
            </w:r>
          </w:p>
        </w:tc>
        <w:tc>
          <w:tcPr>
            <w:tcW w:w="710"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0.06</w:t>
            </w:r>
          </w:p>
        </w:tc>
        <w:tc>
          <w:tcPr>
            <w:tcW w:w="972"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288" w:type="dxa"/>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0.44</w:t>
            </w:r>
          </w:p>
        </w:tc>
        <w:tc>
          <w:tcPr>
            <w:tcW w:w="990" w:type="dxa"/>
            <w:vMerge/>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0.64</w:t>
            </w:r>
          </w:p>
        </w:tc>
      </w:tr>
      <w:tr w:rsidR="007568CF" w:rsidRPr="000262E1" w:rsidTr="008C0FA7">
        <w:trPr>
          <w:cantSplit/>
        </w:trPr>
        <w:tc>
          <w:tcPr>
            <w:tcW w:w="1375"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left"/>
              <w:rPr>
                <w:b/>
                <w:bCs/>
                <w:color w:val="000000"/>
                <w:sz w:val="20"/>
                <w:szCs w:val="20"/>
              </w:rPr>
            </w:pPr>
            <w:r w:rsidRPr="000262E1">
              <w:rPr>
                <w:b/>
                <w:bCs/>
                <w:color w:val="000000"/>
                <w:sz w:val="20"/>
                <w:szCs w:val="20"/>
              </w:rPr>
              <w:t>SDG&amp;E</w:t>
            </w:r>
          </w:p>
        </w:tc>
        <w:tc>
          <w:tcPr>
            <w:tcW w:w="1145" w:type="dxa"/>
            <w:vMerge/>
            <w:tcBorders>
              <w:bottom w:val="single" w:sz="12" w:space="0" w:color="auto"/>
            </w:tcBorders>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015"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0.71</w:t>
            </w:r>
          </w:p>
        </w:tc>
        <w:tc>
          <w:tcPr>
            <w:tcW w:w="900"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0.30</w:t>
            </w:r>
          </w:p>
        </w:tc>
        <w:tc>
          <w:tcPr>
            <w:tcW w:w="710"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0.08</w:t>
            </w:r>
          </w:p>
        </w:tc>
        <w:tc>
          <w:tcPr>
            <w:tcW w:w="972" w:type="dxa"/>
            <w:vMerge/>
            <w:tcBorders>
              <w:bottom w:val="single" w:sz="12" w:space="0" w:color="auto"/>
            </w:tcBorders>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1288"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color w:val="000000"/>
                <w:sz w:val="20"/>
                <w:szCs w:val="20"/>
              </w:rPr>
            </w:pPr>
            <w:r w:rsidRPr="000262E1">
              <w:rPr>
                <w:color w:val="000000"/>
                <w:sz w:val="20"/>
                <w:szCs w:val="20"/>
              </w:rPr>
              <w:t>0.41</w:t>
            </w:r>
          </w:p>
        </w:tc>
        <w:tc>
          <w:tcPr>
            <w:tcW w:w="990" w:type="dxa"/>
            <w:vMerge/>
            <w:tcBorders>
              <w:bottom w:val="single" w:sz="12" w:space="0" w:color="auto"/>
            </w:tcBorders>
            <w:vAlign w:val="center"/>
            <w:hideMark/>
          </w:tcPr>
          <w:p w:rsidR="007568CF" w:rsidRPr="000262E1" w:rsidRDefault="007568CF" w:rsidP="008D16F3">
            <w:pPr>
              <w:keepNext/>
              <w:keepLines/>
              <w:spacing w:before="40" w:after="40" w:line="240" w:lineRule="auto"/>
              <w:jc w:val="center"/>
              <w:rPr>
                <w:color w:val="000000"/>
                <w:sz w:val="20"/>
                <w:szCs w:val="20"/>
              </w:rPr>
            </w:pPr>
          </w:p>
        </w:tc>
        <w:tc>
          <w:tcPr>
            <w:tcW w:w="965" w:type="dxa"/>
            <w:tcBorders>
              <w:bottom w:val="single" w:sz="12" w:space="0" w:color="auto"/>
            </w:tcBorders>
            <w:shd w:val="clear" w:color="auto" w:fill="auto"/>
            <w:noWrap/>
            <w:vAlign w:val="center"/>
            <w:hideMark/>
          </w:tcPr>
          <w:p w:rsidR="007568CF" w:rsidRPr="000262E1" w:rsidRDefault="007568CF" w:rsidP="008D16F3">
            <w:pPr>
              <w:keepNext/>
              <w:keepLines/>
              <w:spacing w:before="40" w:after="40" w:line="240" w:lineRule="auto"/>
              <w:jc w:val="center"/>
              <w:rPr>
                <w:b/>
                <w:bCs/>
                <w:color w:val="000000"/>
                <w:sz w:val="20"/>
                <w:szCs w:val="20"/>
              </w:rPr>
            </w:pPr>
            <w:r w:rsidRPr="000262E1">
              <w:rPr>
                <w:b/>
                <w:bCs/>
                <w:color w:val="000000"/>
                <w:sz w:val="20"/>
                <w:szCs w:val="20"/>
              </w:rPr>
              <w:t>0.48</w:t>
            </w:r>
          </w:p>
        </w:tc>
      </w:tr>
    </w:tbl>
    <w:p w:rsidR="000D7DC9" w:rsidRDefault="000D7DC9" w:rsidP="00C0081A">
      <w:pPr>
        <w:pStyle w:val="Halfline"/>
      </w:pPr>
    </w:p>
    <w:p w:rsidR="007568CF" w:rsidRDefault="007568CF">
      <w:r w:rsidRPr="007568CF">
        <w:t>In general, the revealed preference results were favored over the other approaches mainly because these were the only methods that used data derived from actual observations of participating retail store environments, average prices for all available, comparable products, and average prices for actual purchased products.</w:t>
      </w:r>
      <w:r w:rsidR="001D026B">
        <w:t xml:space="preserve"> </w:t>
      </w:r>
      <w:r w:rsidRPr="007568CF">
        <w:t xml:space="preserve"> In addition, the revealed preference surveys provide</w:t>
      </w:r>
      <w:r>
        <w:t>d</w:t>
      </w:r>
      <w:r w:rsidRPr="007568CF">
        <w:t xml:space="preserve"> the only source of data for actual observations of IOU-discounted CFL purchases as a percent of all CFL purchases.</w:t>
      </w:r>
      <w:r w:rsidR="001D026B">
        <w:t xml:space="preserve"> </w:t>
      </w:r>
      <w:r w:rsidRPr="007568CF">
        <w:t xml:space="preserve"> Therefore, the recommended NTGR estimate for most channels was taken as the average of the two revealed preference model results.</w:t>
      </w:r>
    </w:p>
    <w:p w:rsidR="007568CF" w:rsidRDefault="007568CF" w:rsidP="007568CF">
      <w:r>
        <w:t xml:space="preserve">There were two important channels for which the revealed preference models did not produce direct NTGR estimates for the 2006-2008 program – that is, discount stores and small, </w:t>
      </w:r>
      <w:r>
        <w:lastRenderedPageBreak/>
        <w:t>independent grocery stores.</w:t>
      </w:r>
      <w:r w:rsidR="001D026B">
        <w:t xml:space="preserve"> </w:t>
      </w:r>
      <w:r>
        <w:t xml:space="preserve"> For discount stores we observed mostly IOU-discounted CFLs on the retail shelves and, as a result, the revealed preference models could not be run. </w:t>
      </w:r>
      <w:r w:rsidR="001D026B">
        <w:t xml:space="preserve"> </w:t>
      </w:r>
      <w:r>
        <w:t xml:space="preserve">In addition, manufacturer, retail buyer and retail store manager survey responses were in agreement that nearly 100% of the CFLs sold through this channel are discounted by the program (i.e., close to zero non-program sales), which was confirmed through the revealed preference surveys (i.e., we observed near 100% stocking of IOU-discounted CFLs and near 100% sales of IOU-discounted CFLs in this channel), and manufacturers and retail buyers were in agreement in terms of their independently-generated estimates of 100% program attribution. </w:t>
      </w:r>
      <w:r w:rsidR="001D026B">
        <w:t xml:space="preserve"> </w:t>
      </w:r>
      <w:r>
        <w:t xml:space="preserve">Therefore, for this important channel (it accounted for 16% of all CFLs rebated through the program during 2006-2008), we recommended a NTGR estimate of 0.90. </w:t>
      </w:r>
    </w:p>
    <w:p w:rsidR="007568CF" w:rsidRDefault="007568CF" w:rsidP="007568CF">
      <w:r>
        <w:t>For similar reasons, we also recommend</w:t>
      </w:r>
      <w:r w:rsidR="00473CEC">
        <w:t>ed</w:t>
      </w:r>
      <w:r>
        <w:t xml:space="preserve"> a 0.90 NTGR estimate for small, independent grocery stores. </w:t>
      </w:r>
      <w:r w:rsidR="001D026B">
        <w:t xml:space="preserve"> </w:t>
      </w:r>
      <w:r>
        <w:t>Interviews with manufacturers and retailers attribute a high percentage of the sales through these channels to the program, and the revealed preference surveys indicated that 100% of all CFL purchases were IOU-discounted CFLs.</w:t>
      </w:r>
      <w:r w:rsidR="001D026B">
        <w:t xml:space="preserve"> </w:t>
      </w:r>
      <w:r>
        <w:t xml:space="preserve"> According to 2006-2008 program tracking records, nearly 20 million IOU-discounted CFLs were distributed by less than ten manufacturers to more than 700 small, independent grocery stores located in hard-to-reach segments throughout the state. </w:t>
      </w:r>
      <w:r w:rsidR="001D026B">
        <w:t xml:space="preserve"> </w:t>
      </w:r>
      <w:r>
        <w:t>These suppliers indicated that had it not been for the program incentives, they would not have been able to sell CFL products through these stores in anywhere near the volume they experienced during 2006-2008.</w:t>
      </w:r>
    </w:p>
    <w:p w:rsidR="007568CF" w:rsidRDefault="007568CF" w:rsidP="007568CF">
      <w:r w:rsidRPr="007568CF">
        <w:t>The</w:t>
      </w:r>
      <w:r>
        <w:t xml:space="preserve"> </w:t>
      </w:r>
      <w:r w:rsidR="00860BBF">
        <w:t xml:space="preserve"> </w:t>
      </w:r>
      <w:r>
        <w:t xml:space="preserve"> NTGR </w:t>
      </w:r>
      <w:r w:rsidRPr="007568CF">
        <w:t xml:space="preserve">estimates </w:t>
      </w:r>
      <w:r>
        <w:t xml:space="preserve">presented in </w:t>
      </w:r>
      <w:fldSimple w:instr=" REF _Ref307399255 ">
        <w:r w:rsidR="00321F09">
          <w:t xml:space="preserve">Table </w:t>
        </w:r>
        <w:r w:rsidR="00321F09">
          <w:rPr>
            <w:noProof/>
          </w:rPr>
          <w:t>8</w:t>
        </w:r>
        <w:r w:rsidR="00321F09">
          <w:noBreakHyphen/>
        </w:r>
        <w:r w:rsidR="00321F09">
          <w:rPr>
            <w:noProof/>
          </w:rPr>
          <w:t>1</w:t>
        </w:r>
      </w:fldSimple>
      <w:r>
        <w:t xml:space="preserve"> </w:t>
      </w:r>
      <w:r w:rsidRPr="007568CF">
        <w:t>represent</w:t>
      </w:r>
      <w:r>
        <w:t>ed</w:t>
      </w:r>
      <w:r w:rsidRPr="007568CF">
        <w:t xml:space="preserve"> the most robust, well-constructed estimates available for attributing net impacts to the </w:t>
      </w:r>
      <w:r>
        <w:t xml:space="preserve">2006-2008 </w:t>
      </w:r>
      <w:r w:rsidRPr="007568CF">
        <w:t>Upstream Lighting Program</w:t>
      </w:r>
      <w:r>
        <w:t xml:space="preserve">. </w:t>
      </w:r>
      <w:r w:rsidR="001D026B">
        <w:t xml:space="preserve"> </w:t>
      </w:r>
      <w:r w:rsidRPr="007568CF">
        <w:t>The main reason for the difference between the IOUs ha</w:t>
      </w:r>
      <w:r>
        <w:t>d</w:t>
      </w:r>
      <w:r w:rsidRPr="007568CF">
        <w:t xml:space="preserve"> to do with variations in distributions by retail channel – i.e., </w:t>
      </w:r>
      <w:r>
        <w:t xml:space="preserve">during 2006-2008, </w:t>
      </w:r>
      <w:r w:rsidRPr="007568CF">
        <w:t xml:space="preserve">SCE shipped a much greater portion of the rebated measures through channels for which the NTGR </w:t>
      </w:r>
      <w:r>
        <w:t xml:space="preserve">estimates were highest </w:t>
      </w:r>
      <w:r w:rsidRPr="007568CF">
        <w:t>(e.g., discount stores, small grocery stores).</w:t>
      </w:r>
    </w:p>
    <w:p w:rsidR="00316EF7" w:rsidRDefault="00316EF7" w:rsidP="007568CF">
      <w:pPr>
        <w:pStyle w:val="Heading2"/>
      </w:pPr>
      <w:r>
        <w:t>Comparison of 2006-2008 Evaluation Results to DEER Values</w:t>
      </w:r>
    </w:p>
    <w:p w:rsidR="00F0049A" w:rsidRDefault="00037B4A" w:rsidP="00037B4A">
      <w:r>
        <w:t xml:space="preserve">The </w:t>
      </w:r>
      <w:r w:rsidR="003C59E9">
        <w:t xml:space="preserve">last DEER update resulted in </w:t>
      </w:r>
      <w:r w:rsidR="00F0049A">
        <w:t xml:space="preserve">recommended NTGR estimates </w:t>
      </w:r>
      <w:r w:rsidR="003C59E9">
        <w:t>of 0.60 for basic CFLs and 0.85 for specialty CFLs</w:t>
      </w:r>
      <w:r>
        <w:rPr>
          <w:rStyle w:val="FootnoteReference"/>
        </w:rPr>
        <w:footnoteReference w:id="4"/>
      </w:r>
      <w:r w:rsidR="00E300F6">
        <w:t xml:space="preserve">.  </w:t>
      </w:r>
      <w:r w:rsidR="00F0049A">
        <w:t>At that time, the</w:t>
      </w:r>
      <w:r w:rsidR="009242F2">
        <w:t xml:space="preserve"> recommended </w:t>
      </w:r>
      <w:r w:rsidR="00F0049A">
        <w:t xml:space="preserve">NTGR estimates </w:t>
      </w:r>
      <w:r w:rsidR="009242F2">
        <w:t xml:space="preserve">for basic CFLs </w:t>
      </w:r>
      <w:r w:rsidR="00F0049A">
        <w:t xml:space="preserve">were projected to reflect conservative estimates for the 2009-2011 time period. </w:t>
      </w:r>
      <w:r w:rsidR="001D026B">
        <w:t xml:space="preserve"> </w:t>
      </w:r>
      <w:r w:rsidR="00F0049A">
        <w:t>The key driver for these NTGR estimates was increased sales nationwide beginning in 2007 combined with decreasing CFL prices</w:t>
      </w:r>
      <w:r w:rsidR="001D026B">
        <w:t>.</w:t>
      </w:r>
      <w:r w:rsidR="00983C59">
        <w:rPr>
          <w:rStyle w:val="FootnoteReference"/>
        </w:rPr>
        <w:footnoteReference w:id="5"/>
      </w:r>
      <w:r w:rsidR="00F0049A">
        <w:t xml:space="preserve"> </w:t>
      </w:r>
    </w:p>
    <w:p w:rsidR="00037B4A" w:rsidRDefault="00F0049A" w:rsidP="00037B4A">
      <w:r>
        <w:lastRenderedPageBreak/>
        <w:t>T</w:t>
      </w:r>
      <w:r w:rsidR="003C59E9">
        <w:t xml:space="preserve">he </w:t>
      </w:r>
      <w:r>
        <w:t xml:space="preserve">overall NTGR estimate </w:t>
      </w:r>
      <w:r w:rsidR="003C59E9">
        <w:t xml:space="preserve">from the 2006-2008 impact evaluation </w:t>
      </w:r>
      <w:r>
        <w:t xml:space="preserve">was </w:t>
      </w:r>
      <w:r w:rsidR="003C59E9">
        <w:t>somewhat lower than the</w:t>
      </w:r>
      <w:r>
        <w:t xml:space="preserve"> DEER estimate </w:t>
      </w:r>
      <w:r w:rsidR="003C59E9">
        <w:t>for basic CFLs</w:t>
      </w:r>
      <w:r>
        <w:t xml:space="preserve"> (0.54 v. 060)</w:t>
      </w:r>
      <w:r w:rsidR="003C59E9">
        <w:t xml:space="preserve">. </w:t>
      </w:r>
      <w:r w:rsidR="001D026B">
        <w:t xml:space="preserve"> </w:t>
      </w:r>
      <w:r w:rsidR="003C59E9">
        <w:t xml:space="preserve">The </w:t>
      </w:r>
      <w:r w:rsidR="00091196">
        <w:t xml:space="preserve">2006-2008 results were </w:t>
      </w:r>
      <w:r w:rsidR="003C59E9">
        <w:t xml:space="preserve">significantly lower </w:t>
      </w:r>
      <w:r w:rsidR="00091196">
        <w:t xml:space="preserve">than 0.60 </w:t>
      </w:r>
      <w:r w:rsidR="003C59E9">
        <w:t xml:space="preserve">for PG&amp;E </w:t>
      </w:r>
      <w:r w:rsidR="00091196">
        <w:t xml:space="preserve">(0.49) </w:t>
      </w:r>
      <w:r w:rsidR="003C59E9">
        <w:t>and SDG&amp;E</w:t>
      </w:r>
      <w:r w:rsidR="00091196">
        <w:t xml:space="preserve"> (0.48), whereas for SCE the 2006-2008 results were somewhat higher (0.64).</w:t>
      </w:r>
      <w:r w:rsidR="001D026B">
        <w:t xml:space="preserve"> </w:t>
      </w:r>
      <w:r w:rsidR="00091196">
        <w:t xml:space="preserve"> As mentioned above, these differences are largely due to differences in shipments by channel, which was not taken into account in the last DEER update. </w:t>
      </w:r>
    </w:p>
    <w:p w:rsidR="00F0049A" w:rsidRDefault="00F0049A" w:rsidP="00037B4A">
      <w:r>
        <w:t>Separate NTGR estimates for specialty CFLs were not produced as part of the 2006-2008 impact evaluation. Therefore, a comparison to the DEER NTGR estimate of 0.85 for specialty CFLs cannot be made</w:t>
      </w:r>
      <w:r w:rsidR="001D026B">
        <w:t>.</w:t>
      </w:r>
      <w:r w:rsidR="00983C59">
        <w:rPr>
          <w:rStyle w:val="FootnoteReference"/>
        </w:rPr>
        <w:footnoteReference w:id="6"/>
      </w:r>
    </w:p>
    <w:p w:rsidR="007568CF" w:rsidRDefault="007568CF" w:rsidP="007568CF">
      <w:pPr>
        <w:pStyle w:val="Heading2"/>
      </w:pPr>
      <w:r>
        <w:t>Changes to Upstream Lighting Programs</w:t>
      </w:r>
      <w:r w:rsidR="003640C0">
        <w:t xml:space="preserve"> Over Time</w:t>
      </w:r>
    </w:p>
    <w:p w:rsidR="007568CF" w:rsidRDefault="007568CF" w:rsidP="007568CF">
      <w:r>
        <w:t>As stated in the 2006-2008 Upstream Lighting Program Impact Evaluation final report, i</w:t>
      </w:r>
      <w:r w:rsidRPr="007568CF">
        <w:t xml:space="preserve">t is likely that </w:t>
      </w:r>
      <w:r>
        <w:t xml:space="preserve">the final recommended NTGR </w:t>
      </w:r>
      <w:r w:rsidRPr="007568CF">
        <w:t xml:space="preserve">estimates may not represent the best estimates going forward since the market for energy efficient lighting </w:t>
      </w:r>
      <w:r w:rsidR="00D95DAD">
        <w:t xml:space="preserve">will </w:t>
      </w:r>
      <w:r w:rsidRPr="007568CF">
        <w:t xml:space="preserve">continue to change and the effects of ongoing IOU interventions, new standards, and changes in the broader California economic conditions </w:t>
      </w:r>
      <w:r>
        <w:t xml:space="preserve">will need to be considered in future analyses. </w:t>
      </w:r>
    </w:p>
    <w:p w:rsidR="00A0491E" w:rsidRDefault="00D95DAD" w:rsidP="007568CF">
      <w:r>
        <w:t xml:space="preserve">Through Q1 2011, the </w:t>
      </w:r>
      <w:r w:rsidR="00A0491E">
        <w:t>2010-2012 Upstream Lighting Program has changed in two significant ways:</w:t>
      </w:r>
    </w:p>
    <w:p w:rsidR="00A0491E" w:rsidRDefault="00A0491E" w:rsidP="00C0081A">
      <w:pPr>
        <w:pStyle w:val="ListParagraph"/>
        <w:numPr>
          <w:ilvl w:val="0"/>
          <w:numId w:val="21"/>
        </w:numPr>
      </w:pPr>
      <w:r>
        <w:t>The distribution of discounted lighting products by channel has shifted</w:t>
      </w:r>
      <w:r w:rsidR="00D95DAD">
        <w:t xml:space="preserve"> slightly toward those channels with higher expected attribution</w:t>
      </w:r>
      <w:r>
        <w:t>, and</w:t>
      </w:r>
    </w:p>
    <w:p w:rsidR="00387EC5" w:rsidRDefault="00D95DAD" w:rsidP="008C0FA7">
      <w:pPr>
        <w:pStyle w:val="ListParagraph"/>
        <w:numPr>
          <w:ilvl w:val="0"/>
          <w:numId w:val="27"/>
        </w:numPr>
      </w:pPr>
      <w:r>
        <w:t>Specialty (or “advanced”) CFLs make up a more significant percentage of all CFLs discounted through the program.</w:t>
      </w:r>
      <w:r w:rsidR="00A0491E">
        <w:t xml:space="preserve"> </w:t>
      </w:r>
    </w:p>
    <w:p w:rsidR="001D026B" w:rsidRDefault="001D026B" w:rsidP="001D026B">
      <w:pPr>
        <w:pStyle w:val="Halfline"/>
      </w:pPr>
    </w:p>
    <w:p w:rsidR="00433595" w:rsidRDefault="003640C0" w:rsidP="00433595">
      <w:pPr>
        <w:pStyle w:val="Heading3"/>
      </w:pPr>
      <w:r>
        <w:t xml:space="preserve">Changes to </w:t>
      </w:r>
      <w:r w:rsidR="00433595">
        <w:t>Channel Distribution</w:t>
      </w:r>
    </w:p>
    <w:p w:rsidR="007568CF" w:rsidRDefault="00433595" w:rsidP="007568CF">
      <w:r>
        <w:t xml:space="preserve">According to IOU program tracking data, </w:t>
      </w:r>
      <w:r w:rsidRPr="003068FA">
        <w:t>over 150 million CFLs have</w:t>
      </w:r>
      <w:r>
        <w:t xml:space="preserve"> been discounted through the upstream programs beginning in 2006 through first quarter 2011</w:t>
      </w:r>
      <w:r>
        <w:rPr>
          <w:rStyle w:val="FootnoteReference"/>
        </w:rPr>
        <w:footnoteReference w:id="7"/>
      </w:r>
      <w:r>
        <w:t xml:space="preserve"> </w:t>
      </w:r>
      <w:r w:rsidR="00A675D3">
        <w:t xml:space="preserve"> </w:t>
      </w:r>
      <w:fldSimple w:instr=" REF _Ref307398193 ">
        <w:r w:rsidR="00321F09">
          <w:t xml:space="preserve">Table </w:t>
        </w:r>
        <w:r w:rsidR="00321F09">
          <w:rPr>
            <w:noProof/>
          </w:rPr>
          <w:t>8</w:t>
        </w:r>
        <w:r w:rsidR="00321F09">
          <w:noBreakHyphen/>
        </w:r>
        <w:r w:rsidR="00321F09">
          <w:rPr>
            <w:noProof/>
          </w:rPr>
          <w:t>2</w:t>
        </w:r>
        <w:r w:rsidR="00321F09">
          <w:t xml:space="preserve"> </w:t>
        </w:r>
      </w:fldSimple>
      <w:r>
        <w:t xml:space="preserve"> presents the distribution of CFLs discounted through various channels by year</w:t>
      </w:r>
      <w:r w:rsidR="003640C0">
        <w:t xml:space="preserve">.  </w:t>
      </w:r>
    </w:p>
    <w:p w:rsidR="002B6928" w:rsidRDefault="0000336D" w:rsidP="00867F3B">
      <w:pPr>
        <w:pStyle w:val="Caption"/>
      </w:pPr>
      <w:bookmarkStart w:id="2" w:name="_Ref307398193"/>
      <w:r>
        <w:lastRenderedPageBreak/>
        <w:t xml:space="preserve">Table </w:t>
      </w:r>
      <w:r w:rsidR="00C66EDC">
        <w:fldChar w:fldCharType="begin"/>
      </w:r>
      <w:r w:rsidR="00867F3B">
        <w:instrText xml:space="preserve"> STYLEREF 1 \s </w:instrText>
      </w:r>
      <w:r w:rsidR="00C66EDC">
        <w:fldChar w:fldCharType="separate"/>
      </w:r>
      <w:r w:rsidR="00321F09">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321F09">
        <w:rPr>
          <w:noProof/>
        </w:rPr>
        <w:t>2</w:t>
      </w:r>
      <w:r w:rsidR="00C66EDC">
        <w:fldChar w:fldCharType="end"/>
      </w:r>
      <w:bookmarkEnd w:id="2"/>
      <w:r w:rsidR="00851D5B">
        <w:t xml:space="preserve">: </w:t>
      </w:r>
      <w:r w:rsidR="002B6928" w:rsidRPr="002B6928">
        <w:t>Upstream Lighting Program CFL Shipments by Channel and Year</w:t>
      </w:r>
    </w:p>
    <w:tbl>
      <w:tblPr>
        <w:tblStyle w:val="ItronBasic"/>
        <w:tblW w:w="9360" w:type="dxa"/>
        <w:tblLayout w:type="fixed"/>
        <w:tblCellMar>
          <w:left w:w="115" w:type="dxa"/>
          <w:right w:w="115" w:type="dxa"/>
        </w:tblCellMar>
        <w:tblLook w:val="04A0"/>
      </w:tblPr>
      <w:tblGrid>
        <w:gridCol w:w="2307"/>
        <w:gridCol w:w="1763"/>
        <w:gridCol w:w="1763"/>
        <w:gridCol w:w="1763"/>
        <w:gridCol w:w="1764"/>
      </w:tblGrid>
      <w:tr w:rsidR="002B6928" w:rsidRPr="002B6928" w:rsidTr="002B6928">
        <w:trPr>
          <w:cnfStyle w:val="100000000000"/>
          <w:cantSplit/>
        </w:trPr>
        <w:tc>
          <w:tcPr>
            <w:tcW w:w="2307" w:type="dxa"/>
            <w:shd w:val="pct20" w:color="auto" w:fill="auto"/>
            <w:vAlign w:val="bottom"/>
          </w:tcPr>
          <w:p w:rsidR="002B6928" w:rsidRPr="002B6928" w:rsidRDefault="002B6928" w:rsidP="002B6928">
            <w:pPr>
              <w:keepNext/>
              <w:keepLines/>
              <w:spacing w:before="40" w:after="40" w:line="240" w:lineRule="auto"/>
              <w:jc w:val="left"/>
              <w:rPr>
                <w:sz w:val="20"/>
                <w:szCs w:val="20"/>
              </w:rPr>
            </w:pPr>
            <w:r w:rsidRPr="002B6928">
              <w:rPr>
                <w:sz w:val="20"/>
                <w:szCs w:val="20"/>
              </w:rPr>
              <w:t>All CFLs</w:t>
            </w:r>
          </w:p>
        </w:tc>
        <w:tc>
          <w:tcPr>
            <w:tcW w:w="1763" w:type="dxa"/>
            <w:shd w:val="pct20" w:color="auto" w:fill="auto"/>
            <w:vAlign w:val="bottom"/>
          </w:tcPr>
          <w:p w:rsidR="002B6928" w:rsidRPr="002B6928" w:rsidRDefault="002B6928" w:rsidP="002B6928">
            <w:pPr>
              <w:keepNext/>
              <w:keepLines/>
              <w:tabs>
                <w:tab w:val="left" w:pos="829"/>
              </w:tabs>
              <w:spacing w:before="40" w:after="40" w:line="240" w:lineRule="auto"/>
              <w:jc w:val="center"/>
              <w:rPr>
                <w:sz w:val="20"/>
                <w:szCs w:val="20"/>
              </w:rPr>
            </w:pPr>
            <w:r w:rsidRPr="002B6928">
              <w:rPr>
                <w:sz w:val="20"/>
                <w:szCs w:val="20"/>
              </w:rPr>
              <w:t>2006</w:t>
            </w:r>
          </w:p>
        </w:tc>
        <w:tc>
          <w:tcPr>
            <w:tcW w:w="1763" w:type="dxa"/>
            <w:shd w:val="pct20" w:color="auto" w:fill="auto"/>
            <w:vAlign w:val="bottom"/>
          </w:tcPr>
          <w:p w:rsidR="002B6928" w:rsidRPr="002B6928" w:rsidRDefault="002B6928" w:rsidP="002B6928">
            <w:pPr>
              <w:keepNext/>
              <w:keepLines/>
              <w:spacing w:before="40" w:after="40" w:line="240" w:lineRule="auto"/>
              <w:jc w:val="center"/>
              <w:rPr>
                <w:sz w:val="20"/>
                <w:szCs w:val="20"/>
              </w:rPr>
            </w:pPr>
            <w:r w:rsidRPr="002B6928">
              <w:rPr>
                <w:sz w:val="20"/>
                <w:szCs w:val="20"/>
              </w:rPr>
              <w:t>2007</w:t>
            </w:r>
          </w:p>
        </w:tc>
        <w:tc>
          <w:tcPr>
            <w:tcW w:w="1763" w:type="dxa"/>
            <w:shd w:val="pct20" w:color="auto" w:fill="auto"/>
            <w:vAlign w:val="bottom"/>
          </w:tcPr>
          <w:p w:rsidR="002B6928" w:rsidRPr="002B6928" w:rsidRDefault="002B6928" w:rsidP="002B6928">
            <w:pPr>
              <w:keepNext/>
              <w:keepLines/>
              <w:spacing w:before="40" w:after="40" w:line="240" w:lineRule="auto"/>
              <w:jc w:val="center"/>
              <w:rPr>
                <w:sz w:val="20"/>
                <w:szCs w:val="20"/>
              </w:rPr>
            </w:pPr>
            <w:r w:rsidRPr="002B6928">
              <w:rPr>
                <w:sz w:val="20"/>
                <w:szCs w:val="20"/>
              </w:rPr>
              <w:t>2008</w:t>
            </w:r>
          </w:p>
        </w:tc>
        <w:tc>
          <w:tcPr>
            <w:tcW w:w="1764" w:type="dxa"/>
            <w:shd w:val="pct20" w:color="auto" w:fill="auto"/>
            <w:vAlign w:val="bottom"/>
          </w:tcPr>
          <w:p w:rsidR="002B6928" w:rsidRPr="002B6928" w:rsidRDefault="002B6928" w:rsidP="002B6928">
            <w:pPr>
              <w:keepNext/>
              <w:keepLines/>
              <w:spacing w:before="40" w:after="40" w:line="240" w:lineRule="auto"/>
              <w:jc w:val="center"/>
              <w:rPr>
                <w:sz w:val="20"/>
                <w:szCs w:val="20"/>
              </w:rPr>
            </w:pPr>
            <w:r w:rsidRPr="002B6928">
              <w:rPr>
                <w:sz w:val="20"/>
                <w:szCs w:val="20"/>
              </w:rPr>
              <w:t>2010</w:t>
            </w:r>
            <w:r>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sidRPr="002B6928">
              <w:rPr>
                <w:sz w:val="20"/>
                <w:szCs w:val="20"/>
              </w:rPr>
              <w:t>Discount</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13%</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15%</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19%</w:t>
            </w:r>
          </w:p>
        </w:tc>
        <w:tc>
          <w:tcPr>
            <w:tcW w:w="1764"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19%</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sidRPr="002B6928">
              <w:rPr>
                <w:sz w:val="20"/>
                <w:szCs w:val="20"/>
              </w:rPr>
              <w:t>Drug</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13%</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8%</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8%</w:t>
            </w:r>
          </w:p>
        </w:tc>
        <w:tc>
          <w:tcPr>
            <w:tcW w:w="1764"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4%</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sidRPr="002B6928">
              <w:rPr>
                <w:sz w:val="20"/>
                <w:szCs w:val="20"/>
              </w:rPr>
              <w:t>Grocery</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40%</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33%</w:t>
            </w:r>
          </w:p>
        </w:tc>
        <w:tc>
          <w:tcPr>
            <w:tcW w:w="1763"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37%</w:t>
            </w:r>
          </w:p>
        </w:tc>
        <w:tc>
          <w:tcPr>
            <w:tcW w:w="1764" w:type="dxa"/>
            <w:vAlign w:val="center"/>
          </w:tcPr>
          <w:p w:rsidR="002B6928" w:rsidRPr="002B6928" w:rsidRDefault="002B6928" w:rsidP="002B6928">
            <w:pPr>
              <w:keepNext/>
              <w:keepLines/>
              <w:spacing w:before="40" w:after="40" w:line="240" w:lineRule="auto"/>
              <w:jc w:val="center"/>
              <w:rPr>
                <w:sz w:val="20"/>
                <w:szCs w:val="20"/>
              </w:rPr>
            </w:pPr>
            <w:r w:rsidRPr="002B6928">
              <w:rPr>
                <w:sz w:val="20"/>
                <w:szCs w:val="20"/>
              </w:rPr>
              <w:t>39%</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Hardware</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4</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5</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6</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8</w:t>
            </w:r>
            <w:r w:rsidRPr="002B6928">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Home Improvement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7</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10</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7</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5</w:t>
            </w:r>
            <w:r w:rsidRPr="002B6928">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Lighting and Electronics</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1</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1</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2</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2</w:t>
            </w:r>
            <w:r w:rsidRPr="002B6928">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Mass Merchandise</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4</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5</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6</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4</w:t>
            </w:r>
            <w:r w:rsidRPr="002B6928">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Membership Club</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19</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22</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17</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20</w:t>
            </w:r>
            <w:r w:rsidRPr="002B6928">
              <w:rPr>
                <w:sz w:val="20"/>
                <w:szCs w:val="20"/>
              </w:rPr>
              <w:t>%</w:t>
            </w:r>
          </w:p>
        </w:tc>
      </w:tr>
      <w:tr w:rsidR="002B6928" w:rsidRPr="002B6928" w:rsidTr="002B6928">
        <w:trPr>
          <w:cantSplit/>
        </w:trPr>
        <w:tc>
          <w:tcPr>
            <w:tcW w:w="2307" w:type="dxa"/>
          </w:tcPr>
          <w:p w:rsidR="002B6928" w:rsidRPr="002B6928" w:rsidRDefault="002B6928" w:rsidP="002B6928">
            <w:pPr>
              <w:keepNext/>
              <w:keepLines/>
              <w:spacing w:before="40" w:after="40" w:line="240" w:lineRule="auto"/>
              <w:rPr>
                <w:sz w:val="20"/>
                <w:szCs w:val="20"/>
              </w:rPr>
            </w:pPr>
            <w:r>
              <w:rPr>
                <w:sz w:val="20"/>
                <w:szCs w:val="20"/>
              </w:rPr>
              <w:t>Other</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0</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0</w:t>
            </w:r>
            <w:r w:rsidRPr="002B6928">
              <w:rPr>
                <w:sz w:val="20"/>
                <w:szCs w:val="20"/>
              </w:rPr>
              <w:t>%</w:t>
            </w:r>
          </w:p>
        </w:tc>
        <w:tc>
          <w:tcPr>
            <w:tcW w:w="1763" w:type="dxa"/>
            <w:vAlign w:val="center"/>
          </w:tcPr>
          <w:p w:rsidR="002B6928" w:rsidRPr="002B6928" w:rsidRDefault="002B6928" w:rsidP="002B6928">
            <w:pPr>
              <w:keepNext/>
              <w:keepLines/>
              <w:spacing w:before="40" w:after="40" w:line="240" w:lineRule="auto"/>
              <w:jc w:val="center"/>
              <w:rPr>
                <w:sz w:val="20"/>
                <w:szCs w:val="20"/>
              </w:rPr>
            </w:pPr>
            <w:r>
              <w:rPr>
                <w:sz w:val="20"/>
                <w:szCs w:val="20"/>
              </w:rPr>
              <w:t>0</w:t>
            </w:r>
            <w:r w:rsidRPr="002B6928">
              <w:rPr>
                <w:sz w:val="20"/>
                <w:szCs w:val="20"/>
              </w:rPr>
              <w:t>%</w:t>
            </w:r>
          </w:p>
        </w:tc>
        <w:tc>
          <w:tcPr>
            <w:tcW w:w="1764" w:type="dxa"/>
            <w:vAlign w:val="center"/>
          </w:tcPr>
          <w:p w:rsidR="002B6928" w:rsidRPr="002B6928" w:rsidRDefault="002B6928" w:rsidP="002B6928">
            <w:pPr>
              <w:keepNext/>
              <w:keepLines/>
              <w:spacing w:before="40" w:after="40" w:line="240" w:lineRule="auto"/>
              <w:jc w:val="center"/>
              <w:rPr>
                <w:sz w:val="20"/>
                <w:szCs w:val="20"/>
              </w:rPr>
            </w:pPr>
            <w:r>
              <w:rPr>
                <w:sz w:val="20"/>
                <w:szCs w:val="20"/>
              </w:rPr>
              <w:t>0</w:t>
            </w:r>
            <w:r w:rsidRPr="002B6928">
              <w:rPr>
                <w:sz w:val="20"/>
                <w:szCs w:val="20"/>
              </w:rPr>
              <w:t>%</w:t>
            </w:r>
          </w:p>
        </w:tc>
      </w:tr>
      <w:tr w:rsidR="002B6928" w:rsidRPr="002B6928" w:rsidTr="002B6928">
        <w:trPr>
          <w:cantSplit/>
        </w:trPr>
        <w:tc>
          <w:tcPr>
            <w:tcW w:w="2307" w:type="dxa"/>
          </w:tcPr>
          <w:p w:rsidR="002B6928" w:rsidRDefault="002B6928" w:rsidP="002B6928">
            <w:pPr>
              <w:keepNext/>
              <w:keepLines/>
              <w:spacing w:before="40" w:after="40" w:line="240" w:lineRule="auto"/>
              <w:rPr>
                <w:sz w:val="20"/>
                <w:szCs w:val="20"/>
              </w:rPr>
            </w:pPr>
            <w:r>
              <w:rPr>
                <w:sz w:val="20"/>
                <w:szCs w:val="20"/>
              </w:rPr>
              <w:t>All Channels</w:t>
            </w:r>
          </w:p>
        </w:tc>
        <w:tc>
          <w:tcPr>
            <w:tcW w:w="1763" w:type="dxa"/>
            <w:vAlign w:val="center"/>
          </w:tcPr>
          <w:p w:rsidR="002B6928" w:rsidRDefault="002B6928" w:rsidP="002B6928">
            <w:pPr>
              <w:keepNext/>
              <w:keepLines/>
              <w:spacing w:before="40" w:after="40" w:line="240" w:lineRule="auto"/>
              <w:jc w:val="center"/>
              <w:rPr>
                <w:sz w:val="20"/>
                <w:szCs w:val="20"/>
              </w:rPr>
            </w:pPr>
            <w:r>
              <w:rPr>
                <w:sz w:val="20"/>
                <w:szCs w:val="20"/>
              </w:rPr>
              <w:t>100</w:t>
            </w:r>
            <w:r w:rsidRPr="002B6928">
              <w:rPr>
                <w:sz w:val="20"/>
                <w:szCs w:val="20"/>
              </w:rPr>
              <w:t>%</w:t>
            </w:r>
          </w:p>
        </w:tc>
        <w:tc>
          <w:tcPr>
            <w:tcW w:w="1763" w:type="dxa"/>
            <w:vAlign w:val="center"/>
          </w:tcPr>
          <w:p w:rsidR="002B6928" w:rsidRDefault="002B6928" w:rsidP="002B6928">
            <w:pPr>
              <w:keepNext/>
              <w:keepLines/>
              <w:spacing w:before="40" w:after="40" w:line="240" w:lineRule="auto"/>
              <w:jc w:val="center"/>
              <w:rPr>
                <w:sz w:val="20"/>
                <w:szCs w:val="20"/>
              </w:rPr>
            </w:pPr>
            <w:r>
              <w:rPr>
                <w:sz w:val="20"/>
                <w:szCs w:val="20"/>
              </w:rPr>
              <w:t>100</w:t>
            </w:r>
            <w:r w:rsidRPr="002B6928">
              <w:rPr>
                <w:sz w:val="20"/>
                <w:szCs w:val="20"/>
              </w:rPr>
              <w:t>%</w:t>
            </w:r>
          </w:p>
        </w:tc>
        <w:tc>
          <w:tcPr>
            <w:tcW w:w="1763" w:type="dxa"/>
            <w:vAlign w:val="center"/>
          </w:tcPr>
          <w:p w:rsidR="002B6928" w:rsidRDefault="002B6928" w:rsidP="002B6928">
            <w:pPr>
              <w:keepNext/>
              <w:keepLines/>
              <w:spacing w:before="40" w:after="40" w:line="240" w:lineRule="auto"/>
              <w:jc w:val="center"/>
              <w:rPr>
                <w:sz w:val="20"/>
                <w:szCs w:val="20"/>
              </w:rPr>
            </w:pPr>
            <w:r>
              <w:rPr>
                <w:sz w:val="20"/>
                <w:szCs w:val="20"/>
              </w:rPr>
              <w:t>100</w:t>
            </w:r>
            <w:r w:rsidRPr="002B6928">
              <w:rPr>
                <w:sz w:val="20"/>
                <w:szCs w:val="20"/>
              </w:rPr>
              <w:t>%</w:t>
            </w:r>
          </w:p>
        </w:tc>
        <w:tc>
          <w:tcPr>
            <w:tcW w:w="1764" w:type="dxa"/>
            <w:vAlign w:val="center"/>
          </w:tcPr>
          <w:p w:rsidR="002B6928" w:rsidRDefault="002B6928" w:rsidP="002B6928">
            <w:pPr>
              <w:keepNext/>
              <w:keepLines/>
              <w:spacing w:before="40" w:after="40" w:line="240" w:lineRule="auto"/>
              <w:jc w:val="center"/>
              <w:rPr>
                <w:sz w:val="20"/>
                <w:szCs w:val="20"/>
              </w:rPr>
            </w:pPr>
            <w:r>
              <w:rPr>
                <w:sz w:val="20"/>
                <w:szCs w:val="20"/>
              </w:rPr>
              <w:t>100</w:t>
            </w:r>
            <w:r w:rsidRPr="002B6928">
              <w:rPr>
                <w:sz w:val="20"/>
                <w:szCs w:val="20"/>
              </w:rPr>
              <w:t>%</w:t>
            </w:r>
          </w:p>
        </w:tc>
      </w:tr>
    </w:tbl>
    <w:p w:rsidR="002B6928" w:rsidRDefault="002B6928" w:rsidP="002B6928">
      <w:pPr>
        <w:pStyle w:val="tablefootnote"/>
      </w:pPr>
      <w:r>
        <w:t>*2010 refers to the period January 2010 through March 2011</w:t>
      </w:r>
      <w:r w:rsidR="00C0081A">
        <w:t>.</w:t>
      </w:r>
    </w:p>
    <w:p w:rsidR="002B6928" w:rsidRDefault="002B6928" w:rsidP="002B6928">
      <w:pPr>
        <w:pStyle w:val="Halfline"/>
      </w:pPr>
    </w:p>
    <w:p w:rsidR="007568CF" w:rsidRDefault="003640C0" w:rsidP="003640C0">
      <w:pPr>
        <w:pStyle w:val="Heading3"/>
      </w:pPr>
      <w:r>
        <w:t>Changes to Product Type Distribution</w:t>
      </w:r>
    </w:p>
    <w:p w:rsidR="003640C0" w:rsidRDefault="00C66EDC" w:rsidP="007568CF">
      <w:fldSimple w:instr=" REF _Ref307398153 ">
        <w:r w:rsidR="00321F09">
          <w:t xml:space="preserve">Table </w:t>
        </w:r>
        <w:r w:rsidR="00321F09">
          <w:rPr>
            <w:noProof/>
          </w:rPr>
          <w:t>8</w:t>
        </w:r>
        <w:r w:rsidR="00321F09">
          <w:noBreakHyphen/>
        </w:r>
        <w:r w:rsidR="00321F09">
          <w:rPr>
            <w:noProof/>
          </w:rPr>
          <w:t>3</w:t>
        </w:r>
      </w:fldSimple>
      <w:r w:rsidR="003640C0">
        <w:t xml:space="preserve"> shows the basic CFLs as a percent of all CFLs discounted through the Upstream Lighting Programs by channel and year. </w:t>
      </w:r>
      <w:r w:rsidR="00C0081A">
        <w:t xml:space="preserve"> </w:t>
      </w:r>
      <w:r w:rsidR="003640C0">
        <w:t>In all channels, the percentages have decreased from 2008 to 2010 and, overall, basic CFLs have been scaled back to represent 70% of the all CFL shipments by Q1 2011.</w:t>
      </w:r>
    </w:p>
    <w:p w:rsidR="00C0081A" w:rsidRDefault="00C0081A" w:rsidP="00C0081A">
      <w:pPr>
        <w:pStyle w:val="Caption"/>
      </w:pPr>
      <w:bookmarkStart w:id="3" w:name="_Ref307398153"/>
      <w:r>
        <w:t xml:space="preserve">Table </w:t>
      </w:r>
      <w:r w:rsidR="00C66EDC">
        <w:fldChar w:fldCharType="begin"/>
      </w:r>
      <w:r w:rsidR="00867F3B">
        <w:instrText xml:space="preserve"> STYLEREF 1 \s </w:instrText>
      </w:r>
      <w:r w:rsidR="00C66EDC">
        <w:fldChar w:fldCharType="separate"/>
      </w:r>
      <w:r w:rsidR="00321F09">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321F09">
        <w:rPr>
          <w:noProof/>
        </w:rPr>
        <w:t>3</w:t>
      </w:r>
      <w:r w:rsidR="00C66EDC">
        <w:fldChar w:fldCharType="end"/>
      </w:r>
      <w:bookmarkEnd w:id="3"/>
      <w:r w:rsidR="00851D5B">
        <w:t xml:space="preserve">: </w:t>
      </w:r>
      <w:r>
        <w:t>Basic CFL as a Percent of All CFL Shipments by Channel and Year</w:t>
      </w:r>
    </w:p>
    <w:tbl>
      <w:tblPr>
        <w:tblStyle w:val="ItronBasic"/>
        <w:tblW w:w="9360" w:type="dxa"/>
        <w:tblLayout w:type="fixed"/>
        <w:tblCellMar>
          <w:left w:w="115" w:type="dxa"/>
          <w:right w:w="115" w:type="dxa"/>
        </w:tblCellMar>
        <w:tblLook w:val="04A0"/>
      </w:tblPr>
      <w:tblGrid>
        <w:gridCol w:w="2307"/>
        <w:gridCol w:w="1763"/>
        <w:gridCol w:w="1763"/>
        <w:gridCol w:w="1763"/>
        <w:gridCol w:w="1764"/>
      </w:tblGrid>
      <w:tr w:rsidR="00C0081A" w:rsidRPr="002B6928" w:rsidTr="00C0081A">
        <w:trPr>
          <w:cnfStyle w:val="100000000000"/>
          <w:cantSplit/>
        </w:trPr>
        <w:tc>
          <w:tcPr>
            <w:tcW w:w="2307" w:type="dxa"/>
            <w:shd w:val="pct20" w:color="auto" w:fill="auto"/>
            <w:vAlign w:val="bottom"/>
          </w:tcPr>
          <w:p w:rsidR="00C0081A" w:rsidRPr="002B6928" w:rsidRDefault="00C0081A" w:rsidP="00C0081A">
            <w:pPr>
              <w:keepNext/>
              <w:keepLines/>
              <w:spacing w:before="40" w:after="40" w:line="240" w:lineRule="auto"/>
              <w:jc w:val="left"/>
              <w:rPr>
                <w:sz w:val="20"/>
                <w:szCs w:val="20"/>
              </w:rPr>
            </w:pPr>
            <w:r w:rsidRPr="002B6928">
              <w:rPr>
                <w:sz w:val="20"/>
                <w:szCs w:val="20"/>
              </w:rPr>
              <w:t>All CFLs</w:t>
            </w:r>
          </w:p>
        </w:tc>
        <w:tc>
          <w:tcPr>
            <w:tcW w:w="1763" w:type="dxa"/>
            <w:shd w:val="pct20" w:color="auto" w:fill="auto"/>
            <w:vAlign w:val="bottom"/>
          </w:tcPr>
          <w:p w:rsidR="00C0081A" w:rsidRPr="002B6928" w:rsidRDefault="00C0081A" w:rsidP="00C0081A">
            <w:pPr>
              <w:keepNext/>
              <w:keepLines/>
              <w:tabs>
                <w:tab w:val="left" w:pos="829"/>
              </w:tabs>
              <w:spacing w:before="40" w:after="40" w:line="240" w:lineRule="auto"/>
              <w:jc w:val="center"/>
              <w:rPr>
                <w:sz w:val="20"/>
                <w:szCs w:val="20"/>
              </w:rPr>
            </w:pPr>
            <w:r w:rsidRPr="002B6928">
              <w:rPr>
                <w:sz w:val="20"/>
                <w:szCs w:val="20"/>
              </w:rPr>
              <w:t>2006</w:t>
            </w:r>
          </w:p>
        </w:tc>
        <w:tc>
          <w:tcPr>
            <w:tcW w:w="1763" w:type="dxa"/>
            <w:shd w:val="pct20" w:color="auto" w:fill="auto"/>
            <w:vAlign w:val="bottom"/>
          </w:tcPr>
          <w:p w:rsidR="00C0081A" w:rsidRPr="002B6928" w:rsidRDefault="00C0081A" w:rsidP="00C0081A">
            <w:pPr>
              <w:keepNext/>
              <w:keepLines/>
              <w:spacing w:before="40" w:after="40" w:line="240" w:lineRule="auto"/>
              <w:jc w:val="center"/>
              <w:rPr>
                <w:sz w:val="20"/>
                <w:szCs w:val="20"/>
              </w:rPr>
            </w:pPr>
            <w:r w:rsidRPr="002B6928">
              <w:rPr>
                <w:sz w:val="20"/>
                <w:szCs w:val="20"/>
              </w:rPr>
              <w:t>2007</w:t>
            </w:r>
          </w:p>
        </w:tc>
        <w:tc>
          <w:tcPr>
            <w:tcW w:w="1763" w:type="dxa"/>
            <w:shd w:val="pct20" w:color="auto" w:fill="auto"/>
            <w:vAlign w:val="bottom"/>
          </w:tcPr>
          <w:p w:rsidR="00C0081A" w:rsidRPr="002B6928" w:rsidRDefault="00C0081A" w:rsidP="00C0081A">
            <w:pPr>
              <w:keepNext/>
              <w:keepLines/>
              <w:spacing w:before="40" w:after="40" w:line="240" w:lineRule="auto"/>
              <w:jc w:val="center"/>
              <w:rPr>
                <w:sz w:val="20"/>
                <w:szCs w:val="20"/>
              </w:rPr>
            </w:pPr>
            <w:r w:rsidRPr="002B6928">
              <w:rPr>
                <w:sz w:val="20"/>
                <w:szCs w:val="20"/>
              </w:rPr>
              <w:t>2008</w:t>
            </w:r>
          </w:p>
        </w:tc>
        <w:tc>
          <w:tcPr>
            <w:tcW w:w="1764" w:type="dxa"/>
            <w:shd w:val="pct20" w:color="auto" w:fill="auto"/>
            <w:vAlign w:val="bottom"/>
          </w:tcPr>
          <w:p w:rsidR="00C0081A" w:rsidRPr="002B6928" w:rsidRDefault="00C0081A" w:rsidP="00C0081A">
            <w:pPr>
              <w:keepNext/>
              <w:keepLines/>
              <w:spacing w:before="40" w:after="40" w:line="240" w:lineRule="auto"/>
              <w:jc w:val="center"/>
              <w:rPr>
                <w:sz w:val="20"/>
                <w:szCs w:val="20"/>
              </w:rPr>
            </w:pPr>
            <w:r w:rsidRPr="002B6928">
              <w:rPr>
                <w:sz w:val="20"/>
                <w:szCs w:val="20"/>
              </w:rPr>
              <w:t>2010</w:t>
            </w:r>
            <w:r>
              <w:rPr>
                <w:sz w:val="20"/>
                <w:szCs w:val="20"/>
              </w:rPr>
              <w:t>*</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sidRPr="002B6928">
              <w:rPr>
                <w:sz w:val="20"/>
                <w:szCs w:val="20"/>
              </w:rPr>
              <w:t>Discount</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95%</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97%</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96%</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68%</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sidRPr="002B6928">
              <w:rPr>
                <w:sz w:val="20"/>
                <w:szCs w:val="20"/>
              </w:rPr>
              <w:t>Drug</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99%</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70%</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83%</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80%</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sidRPr="002B6928">
              <w:rPr>
                <w:sz w:val="20"/>
                <w:szCs w:val="20"/>
              </w:rPr>
              <w:t>Grocery</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97%</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93%</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84%</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71%</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Hardware</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95%</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98%</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94%</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78%</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Home Improvement</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73%</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92%</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82%</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67%</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Lighting and Electronics</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99%</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96%</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91%</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68%</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Mass Merchandise</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79%</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88%</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87%</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84%</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Membership Club</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70%</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87%</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69%</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61%</w:t>
            </w:r>
          </w:p>
        </w:tc>
      </w:tr>
      <w:tr w:rsidR="00C0081A" w:rsidRPr="002B6928" w:rsidTr="00C0081A">
        <w:trPr>
          <w:cantSplit/>
        </w:trPr>
        <w:tc>
          <w:tcPr>
            <w:tcW w:w="2307" w:type="dxa"/>
          </w:tcPr>
          <w:p w:rsidR="00C0081A" w:rsidRPr="002B6928" w:rsidRDefault="00C0081A" w:rsidP="00C0081A">
            <w:pPr>
              <w:keepNext/>
              <w:keepLines/>
              <w:spacing w:before="40" w:after="40" w:line="240" w:lineRule="auto"/>
              <w:rPr>
                <w:sz w:val="20"/>
                <w:szCs w:val="20"/>
              </w:rPr>
            </w:pPr>
            <w:r>
              <w:rPr>
                <w:sz w:val="20"/>
                <w:szCs w:val="20"/>
              </w:rPr>
              <w:t>Other</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100%</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99%</w:t>
            </w:r>
          </w:p>
        </w:tc>
        <w:tc>
          <w:tcPr>
            <w:tcW w:w="1763" w:type="dxa"/>
            <w:vAlign w:val="center"/>
          </w:tcPr>
          <w:p w:rsidR="00C0081A" w:rsidRPr="002B6928" w:rsidRDefault="00C0081A" w:rsidP="00C0081A">
            <w:pPr>
              <w:keepNext/>
              <w:keepLines/>
              <w:spacing w:before="40" w:after="40" w:line="240" w:lineRule="auto"/>
              <w:jc w:val="center"/>
              <w:rPr>
                <w:sz w:val="20"/>
                <w:szCs w:val="20"/>
              </w:rPr>
            </w:pPr>
            <w:r>
              <w:rPr>
                <w:sz w:val="20"/>
                <w:szCs w:val="20"/>
              </w:rPr>
              <w:t>83%</w:t>
            </w:r>
          </w:p>
        </w:tc>
        <w:tc>
          <w:tcPr>
            <w:tcW w:w="1764" w:type="dxa"/>
            <w:vAlign w:val="center"/>
          </w:tcPr>
          <w:p w:rsidR="00C0081A" w:rsidRPr="002B6928" w:rsidRDefault="00C0081A" w:rsidP="00C0081A">
            <w:pPr>
              <w:keepNext/>
              <w:keepLines/>
              <w:spacing w:before="40" w:after="40" w:line="240" w:lineRule="auto"/>
              <w:jc w:val="center"/>
              <w:rPr>
                <w:sz w:val="20"/>
                <w:szCs w:val="20"/>
              </w:rPr>
            </w:pPr>
            <w:r>
              <w:rPr>
                <w:sz w:val="20"/>
                <w:szCs w:val="20"/>
              </w:rPr>
              <w:t>64%</w:t>
            </w:r>
          </w:p>
        </w:tc>
      </w:tr>
      <w:tr w:rsidR="00C0081A" w:rsidRPr="002B6928" w:rsidTr="00C0081A">
        <w:trPr>
          <w:cantSplit/>
        </w:trPr>
        <w:tc>
          <w:tcPr>
            <w:tcW w:w="2307" w:type="dxa"/>
          </w:tcPr>
          <w:p w:rsidR="00C0081A" w:rsidRDefault="00C0081A" w:rsidP="00C0081A">
            <w:pPr>
              <w:keepNext/>
              <w:keepLines/>
              <w:spacing w:before="40" w:after="40" w:line="240" w:lineRule="auto"/>
              <w:rPr>
                <w:sz w:val="20"/>
                <w:szCs w:val="20"/>
              </w:rPr>
            </w:pPr>
            <w:r>
              <w:rPr>
                <w:sz w:val="20"/>
                <w:szCs w:val="20"/>
              </w:rPr>
              <w:t>All Channels</w:t>
            </w:r>
          </w:p>
        </w:tc>
        <w:tc>
          <w:tcPr>
            <w:tcW w:w="1763" w:type="dxa"/>
            <w:vAlign w:val="center"/>
          </w:tcPr>
          <w:p w:rsidR="00C0081A" w:rsidRDefault="00C0081A" w:rsidP="00C0081A">
            <w:pPr>
              <w:keepNext/>
              <w:keepLines/>
              <w:spacing w:before="40" w:after="40" w:line="240" w:lineRule="auto"/>
              <w:jc w:val="center"/>
              <w:rPr>
                <w:sz w:val="20"/>
                <w:szCs w:val="20"/>
              </w:rPr>
            </w:pPr>
            <w:r>
              <w:rPr>
                <w:sz w:val="20"/>
                <w:szCs w:val="20"/>
              </w:rPr>
              <w:t>90%</w:t>
            </w:r>
          </w:p>
        </w:tc>
        <w:tc>
          <w:tcPr>
            <w:tcW w:w="1763" w:type="dxa"/>
            <w:vAlign w:val="center"/>
          </w:tcPr>
          <w:p w:rsidR="00C0081A" w:rsidRDefault="00C0081A" w:rsidP="00C0081A">
            <w:pPr>
              <w:keepNext/>
              <w:keepLines/>
              <w:spacing w:before="40" w:after="40" w:line="240" w:lineRule="auto"/>
              <w:jc w:val="center"/>
              <w:rPr>
                <w:sz w:val="20"/>
                <w:szCs w:val="20"/>
              </w:rPr>
            </w:pPr>
            <w:r>
              <w:rPr>
                <w:sz w:val="20"/>
                <w:szCs w:val="20"/>
              </w:rPr>
              <w:t>90%</w:t>
            </w:r>
          </w:p>
        </w:tc>
        <w:tc>
          <w:tcPr>
            <w:tcW w:w="1763" w:type="dxa"/>
            <w:vAlign w:val="center"/>
          </w:tcPr>
          <w:p w:rsidR="00C0081A" w:rsidRDefault="00C0081A" w:rsidP="00C0081A">
            <w:pPr>
              <w:keepNext/>
              <w:keepLines/>
              <w:spacing w:before="40" w:after="40" w:line="240" w:lineRule="auto"/>
              <w:jc w:val="center"/>
              <w:rPr>
                <w:sz w:val="20"/>
                <w:szCs w:val="20"/>
              </w:rPr>
            </w:pPr>
            <w:r>
              <w:rPr>
                <w:sz w:val="20"/>
                <w:szCs w:val="20"/>
              </w:rPr>
              <w:t>84%</w:t>
            </w:r>
          </w:p>
        </w:tc>
        <w:tc>
          <w:tcPr>
            <w:tcW w:w="1764" w:type="dxa"/>
            <w:vAlign w:val="center"/>
          </w:tcPr>
          <w:p w:rsidR="00C0081A" w:rsidRDefault="00C0081A" w:rsidP="00C0081A">
            <w:pPr>
              <w:keepNext/>
              <w:keepLines/>
              <w:spacing w:before="40" w:after="40" w:line="240" w:lineRule="auto"/>
              <w:jc w:val="center"/>
              <w:rPr>
                <w:sz w:val="20"/>
                <w:szCs w:val="20"/>
              </w:rPr>
            </w:pPr>
            <w:r>
              <w:rPr>
                <w:sz w:val="20"/>
                <w:szCs w:val="20"/>
              </w:rPr>
              <w:t>70%</w:t>
            </w:r>
          </w:p>
        </w:tc>
      </w:tr>
    </w:tbl>
    <w:p w:rsidR="00C0081A" w:rsidRDefault="00C0081A" w:rsidP="00C0081A">
      <w:pPr>
        <w:pStyle w:val="tablefootnote"/>
      </w:pPr>
      <w:r>
        <w:t>*2010 refers to the period January 2010 through March 2011.</w:t>
      </w:r>
    </w:p>
    <w:p w:rsidR="00C0081A" w:rsidRDefault="00C0081A" w:rsidP="00C0081A">
      <w:pPr>
        <w:pStyle w:val="Halfline"/>
      </w:pPr>
    </w:p>
    <w:p w:rsidR="003640C0" w:rsidRDefault="00316EF7" w:rsidP="00316EF7">
      <w:pPr>
        <w:pStyle w:val="Heading2"/>
      </w:pPr>
      <w:r>
        <w:lastRenderedPageBreak/>
        <w:t>Recommended NTGR Estimates</w:t>
      </w:r>
      <w:r w:rsidR="00D95DAD">
        <w:t xml:space="preserve"> </w:t>
      </w:r>
    </w:p>
    <w:p w:rsidR="00A070B8" w:rsidRPr="00A070B8" w:rsidRDefault="00A070B8" w:rsidP="00A070B8">
      <w:pPr>
        <w:pStyle w:val="Heading3"/>
      </w:pPr>
      <w:r>
        <w:t>Basic CFLs</w:t>
      </w:r>
    </w:p>
    <w:p w:rsidR="00C026C6" w:rsidRDefault="00C026C6" w:rsidP="00C026C6">
      <w:r>
        <w:t>Using the results from the 2006-2008 impact evaluation, the overall</w:t>
      </w:r>
      <w:r w:rsidR="00D06E58">
        <w:t xml:space="preserve"> NTGR estimate for </w:t>
      </w:r>
      <w:r>
        <w:t xml:space="preserve">basic CFLs discounted in </w:t>
      </w:r>
      <w:r w:rsidR="00D06E58">
        <w:t xml:space="preserve">2010 through Q1 2011 would be 0.57, reflecting a shift in CFL shipments toward channels with higher expected </w:t>
      </w:r>
      <w:r>
        <w:t xml:space="preserve">program attribution. </w:t>
      </w:r>
      <w:r w:rsidR="001D026B">
        <w:t xml:space="preserve"> </w:t>
      </w:r>
      <w:r>
        <w:t xml:space="preserve">Estimates for each IOU are as follows: SCE, 0.59; SDG&amp;E, 0.50 and PG&amp;E, 0.55.  </w:t>
      </w:r>
      <w:fldSimple w:instr=" REF _Ref307399610 ">
        <w:r w:rsidR="00851D5B">
          <w:t xml:space="preserve">Table </w:t>
        </w:r>
        <w:r w:rsidR="00851D5B">
          <w:rPr>
            <w:noProof/>
          </w:rPr>
          <w:t>8</w:t>
        </w:r>
        <w:r w:rsidR="00851D5B">
          <w:noBreakHyphen/>
        </w:r>
        <w:r w:rsidR="00851D5B">
          <w:rPr>
            <w:noProof/>
          </w:rPr>
          <w:t>4</w:t>
        </w:r>
        <w:r w:rsidR="00851D5B">
          <w:t xml:space="preserve"> </w:t>
        </w:r>
      </w:fldSimple>
      <w:r w:rsidR="00607C22">
        <w:t xml:space="preserve"> presents the distribution </w:t>
      </w:r>
      <w:r w:rsidR="00D34FE4">
        <w:t xml:space="preserve">of </w:t>
      </w:r>
      <w:r w:rsidR="00607C22">
        <w:t xml:space="preserve">basic CFL shipments by channel for each IOU as well as overall. </w:t>
      </w:r>
      <w:r w:rsidR="001D026B">
        <w:t xml:space="preserve"> </w:t>
      </w:r>
      <w:r w:rsidR="00607C22">
        <w:t>Applying the 2006-2008 CFL NTGR estimates by channel to these IOU-specific shipment distributions produces the basic CFL NTGR estimates by IOU for the 2010 through Q1 2011 program period.</w:t>
      </w:r>
    </w:p>
    <w:p w:rsidR="00A675D3" w:rsidRPr="00A675D3" w:rsidRDefault="0000336D" w:rsidP="0000336D">
      <w:pPr>
        <w:pStyle w:val="Caption"/>
      </w:pPr>
      <w:bookmarkStart w:id="4" w:name="_Ref307399610"/>
      <w:r>
        <w:t xml:space="preserve">Table </w:t>
      </w:r>
      <w:r w:rsidR="00C66EDC">
        <w:fldChar w:fldCharType="begin"/>
      </w:r>
      <w:r w:rsidR="00867F3B">
        <w:instrText xml:space="preserve"> STYLEREF 1 \s </w:instrText>
      </w:r>
      <w:r w:rsidR="00C66EDC">
        <w:fldChar w:fldCharType="separate"/>
      </w:r>
      <w:r w:rsidR="00851D5B">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851D5B">
        <w:rPr>
          <w:noProof/>
        </w:rPr>
        <w:t>4</w:t>
      </w:r>
      <w:r w:rsidR="00C66EDC">
        <w:fldChar w:fldCharType="end"/>
      </w:r>
      <w:bookmarkEnd w:id="4"/>
      <w:r w:rsidR="00851D5B">
        <w:t xml:space="preserve">: </w:t>
      </w:r>
      <w:r w:rsidR="00A675D3" w:rsidRPr="00A675D3">
        <w:t xml:space="preserve">Basic CFL Distributions by Channel and NTGR Estimates </w:t>
      </w:r>
      <w:r w:rsidR="00A675D3">
        <w:br/>
      </w:r>
      <w:r w:rsidR="00A675D3" w:rsidRPr="00A675D3">
        <w:t>(2010 through Q2011)</w:t>
      </w:r>
    </w:p>
    <w:tbl>
      <w:tblPr>
        <w:tblW w:w="9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5" w:type="dxa"/>
          <w:right w:w="115" w:type="dxa"/>
        </w:tblCellMar>
        <w:tblLook w:val="0000"/>
      </w:tblPr>
      <w:tblGrid>
        <w:gridCol w:w="3343"/>
        <w:gridCol w:w="832"/>
        <w:gridCol w:w="1053"/>
        <w:gridCol w:w="901"/>
        <w:gridCol w:w="1110"/>
        <w:gridCol w:w="2121"/>
      </w:tblGrid>
      <w:tr w:rsidR="00A12C99" w:rsidRPr="00A675D3" w:rsidTr="001D026B">
        <w:trPr>
          <w:cantSplit/>
        </w:trPr>
        <w:tc>
          <w:tcPr>
            <w:tcW w:w="3343" w:type="dxa"/>
            <w:vMerge w:val="restart"/>
            <w:tcBorders>
              <w:top w:val="single" w:sz="12"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left"/>
              <w:rPr>
                <w:b/>
                <w:color w:val="000000"/>
                <w:sz w:val="20"/>
                <w:szCs w:val="20"/>
              </w:rPr>
            </w:pPr>
            <w:r w:rsidRPr="00A675D3">
              <w:rPr>
                <w:b/>
                <w:color w:val="000000"/>
                <w:sz w:val="20"/>
                <w:szCs w:val="20"/>
              </w:rPr>
              <w:t>Channel</w:t>
            </w:r>
          </w:p>
        </w:tc>
        <w:tc>
          <w:tcPr>
            <w:tcW w:w="3896" w:type="dxa"/>
            <w:gridSpan w:val="4"/>
            <w:tcBorders>
              <w:top w:val="single" w:sz="12" w:space="0" w:color="auto"/>
              <w:bottom w:val="single" w:sz="6"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 xml:space="preserve">Percent of Basic CFL Shipments </w:t>
            </w:r>
            <w:r w:rsidR="00A675D3">
              <w:rPr>
                <w:b/>
                <w:color w:val="000000"/>
                <w:sz w:val="20"/>
                <w:szCs w:val="20"/>
              </w:rPr>
              <w:br/>
            </w:r>
            <w:r w:rsidRPr="00A675D3">
              <w:rPr>
                <w:b/>
                <w:color w:val="000000"/>
                <w:sz w:val="20"/>
                <w:szCs w:val="20"/>
              </w:rPr>
              <w:t>(2010-Q1 2011)</w:t>
            </w:r>
          </w:p>
        </w:tc>
        <w:tc>
          <w:tcPr>
            <w:tcW w:w="2121" w:type="dxa"/>
            <w:vMerge w:val="restart"/>
            <w:tcBorders>
              <w:top w:val="single" w:sz="12"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NTGR by Channel (2006-2008)</w:t>
            </w:r>
          </w:p>
        </w:tc>
      </w:tr>
      <w:tr w:rsidR="001D026B" w:rsidRPr="00A675D3" w:rsidTr="001D026B">
        <w:trPr>
          <w:cantSplit/>
        </w:trPr>
        <w:tc>
          <w:tcPr>
            <w:tcW w:w="3343" w:type="dxa"/>
            <w:vMerge/>
            <w:tcBorders>
              <w:top w:val="single" w:sz="6" w:space="0" w:color="auto"/>
              <w:bottom w:val="single" w:sz="12" w:space="0" w:color="auto"/>
            </w:tcBorders>
            <w:vAlign w:val="center"/>
          </w:tcPr>
          <w:p w:rsidR="00A12C99" w:rsidRPr="00A675D3" w:rsidRDefault="00A12C99" w:rsidP="00A675D3">
            <w:pPr>
              <w:keepNext/>
              <w:keepLines/>
              <w:autoSpaceDE w:val="0"/>
              <w:autoSpaceDN w:val="0"/>
              <w:adjustRightInd w:val="0"/>
              <w:spacing w:before="40" w:after="40" w:line="240" w:lineRule="auto"/>
              <w:jc w:val="left"/>
              <w:rPr>
                <w:color w:val="000000"/>
                <w:sz w:val="20"/>
                <w:szCs w:val="20"/>
              </w:rPr>
            </w:pPr>
          </w:p>
        </w:tc>
        <w:tc>
          <w:tcPr>
            <w:tcW w:w="832" w:type="dxa"/>
            <w:tcBorders>
              <w:top w:val="single" w:sz="6"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SCE</w:t>
            </w:r>
          </w:p>
        </w:tc>
        <w:tc>
          <w:tcPr>
            <w:tcW w:w="1053" w:type="dxa"/>
            <w:tcBorders>
              <w:top w:val="single" w:sz="6"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SDG&amp;E</w:t>
            </w:r>
          </w:p>
        </w:tc>
        <w:tc>
          <w:tcPr>
            <w:tcW w:w="901" w:type="dxa"/>
            <w:tcBorders>
              <w:top w:val="single" w:sz="6"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PG&amp;E</w:t>
            </w:r>
          </w:p>
        </w:tc>
        <w:tc>
          <w:tcPr>
            <w:tcW w:w="1110" w:type="dxa"/>
            <w:tcBorders>
              <w:top w:val="single" w:sz="6" w:space="0" w:color="auto"/>
              <w:bottom w:val="single" w:sz="12" w:space="0" w:color="auto"/>
            </w:tcBorders>
            <w:shd w:val="pct20" w:color="auto" w:fill="auto"/>
            <w:vAlign w:val="bottom"/>
          </w:tcPr>
          <w:p w:rsidR="00A12C99" w:rsidRPr="00A675D3" w:rsidRDefault="00A12C99"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All IOUs</w:t>
            </w:r>
          </w:p>
        </w:tc>
        <w:tc>
          <w:tcPr>
            <w:tcW w:w="2121" w:type="dxa"/>
            <w:vMerge/>
            <w:tcBorders>
              <w:top w:val="single" w:sz="6" w:space="0" w:color="auto"/>
              <w:bottom w:val="single" w:sz="12" w:space="0" w:color="auto"/>
            </w:tcBorders>
            <w:vAlign w:val="center"/>
          </w:tcPr>
          <w:p w:rsidR="00A12C99" w:rsidRPr="00A675D3" w:rsidRDefault="00A12C99" w:rsidP="00A675D3">
            <w:pPr>
              <w:keepNext/>
              <w:keepLines/>
              <w:autoSpaceDE w:val="0"/>
              <w:autoSpaceDN w:val="0"/>
              <w:adjustRightInd w:val="0"/>
              <w:spacing w:before="40" w:after="40" w:line="240" w:lineRule="auto"/>
              <w:jc w:val="left"/>
              <w:rPr>
                <w:color w:val="000000"/>
                <w:sz w:val="20"/>
                <w:szCs w:val="20"/>
              </w:rPr>
            </w:pPr>
          </w:p>
        </w:tc>
      </w:tr>
      <w:tr w:rsidR="00A12C99" w:rsidRPr="00A675D3" w:rsidTr="001D026B">
        <w:trPr>
          <w:cantSplit/>
        </w:trPr>
        <w:tc>
          <w:tcPr>
            <w:tcW w:w="3343"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Discount</w:t>
            </w:r>
          </w:p>
        </w:tc>
        <w:tc>
          <w:tcPr>
            <w:tcW w:w="832"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18.9%</w:t>
            </w:r>
          </w:p>
        </w:tc>
        <w:tc>
          <w:tcPr>
            <w:tcW w:w="1053"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16.9%</w:t>
            </w:r>
          </w:p>
        </w:tc>
        <w:tc>
          <w:tcPr>
            <w:tcW w:w="901"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14.8%</w:t>
            </w:r>
          </w:p>
        </w:tc>
        <w:tc>
          <w:tcPr>
            <w:tcW w:w="1110"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17.1%</w:t>
            </w:r>
          </w:p>
        </w:tc>
        <w:tc>
          <w:tcPr>
            <w:tcW w:w="2121" w:type="dxa"/>
            <w:tcBorders>
              <w:top w:val="single" w:sz="12" w:space="0" w:color="auto"/>
            </w:tcBorders>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0.90</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Drug</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5.2%</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0.8%</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3.2%</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4.0%</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0.32</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Grocery</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45.7%</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19.5%</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30.9%</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37.3%</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0.65</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Hardware</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8.3%</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4.5%</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8.6%</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8.1%</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0.35</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Home Improvement</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3.3%</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1.2%</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6.2%</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4.3%</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0.36</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Ltg &amp; Electronics</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1.4%</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1.2%</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1.5%</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1.4%</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0.36</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Mass Merchandise</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6.0%</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11.1%</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2.4%</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5.0%</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0.41</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Membership Club</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11.1%</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44.3%</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16.3%</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16.3%</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0.33</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Other</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0.0%</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0.5%</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0.9%</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0.54</w:t>
            </w:r>
          </w:p>
        </w:tc>
      </w:tr>
      <w:tr w:rsidR="00A12C99" w:rsidRPr="00A675D3" w:rsidTr="001D026B">
        <w:trPr>
          <w:cantSplit/>
        </w:trPr>
        <w:tc>
          <w:tcPr>
            <w:tcW w:w="3343" w:type="dxa"/>
            <w:vAlign w:val="center"/>
          </w:tcPr>
          <w:p w:rsidR="00C026C6" w:rsidRPr="00A675D3" w:rsidRDefault="00C026C6"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Missing</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0.0%</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0.0%</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15.2%</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6.1%</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0.54</w:t>
            </w:r>
          </w:p>
        </w:tc>
      </w:tr>
      <w:tr w:rsidR="00A12C99" w:rsidRPr="00A675D3" w:rsidTr="001D026B">
        <w:trPr>
          <w:cantSplit/>
        </w:trPr>
        <w:tc>
          <w:tcPr>
            <w:tcW w:w="3343" w:type="dxa"/>
            <w:vAlign w:val="center"/>
          </w:tcPr>
          <w:p w:rsidR="00C026C6" w:rsidRPr="00A675D3" w:rsidRDefault="00607C22" w:rsidP="00A675D3">
            <w:pPr>
              <w:keepNext/>
              <w:keepLines/>
              <w:autoSpaceDE w:val="0"/>
              <w:autoSpaceDN w:val="0"/>
              <w:adjustRightInd w:val="0"/>
              <w:spacing w:before="40" w:after="40" w:line="240" w:lineRule="auto"/>
              <w:jc w:val="left"/>
              <w:rPr>
                <w:b/>
                <w:color w:val="000000"/>
                <w:sz w:val="20"/>
                <w:szCs w:val="20"/>
              </w:rPr>
            </w:pPr>
            <w:r w:rsidRPr="00A675D3">
              <w:rPr>
                <w:b/>
                <w:color w:val="000000"/>
                <w:sz w:val="20"/>
                <w:szCs w:val="20"/>
              </w:rPr>
              <w:t xml:space="preserve">Basic CFL </w:t>
            </w:r>
            <w:r w:rsidR="00C026C6" w:rsidRPr="00A675D3">
              <w:rPr>
                <w:b/>
                <w:color w:val="000000"/>
                <w:sz w:val="20"/>
                <w:szCs w:val="20"/>
              </w:rPr>
              <w:t xml:space="preserve">NTGR </w:t>
            </w:r>
            <w:r w:rsidRPr="00A675D3">
              <w:rPr>
                <w:b/>
                <w:color w:val="000000"/>
                <w:sz w:val="20"/>
                <w:szCs w:val="20"/>
              </w:rPr>
              <w:t xml:space="preserve">Estimate </w:t>
            </w:r>
            <w:r w:rsidR="00C026C6" w:rsidRPr="00A675D3">
              <w:rPr>
                <w:b/>
                <w:color w:val="000000"/>
                <w:sz w:val="20"/>
                <w:szCs w:val="20"/>
              </w:rPr>
              <w:t xml:space="preserve">by </w:t>
            </w:r>
            <w:r w:rsidRPr="00A675D3">
              <w:rPr>
                <w:b/>
                <w:color w:val="000000"/>
                <w:sz w:val="20"/>
                <w:szCs w:val="20"/>
              </w:rPr>
              <w:t>IOU</w:t>
            </w:r>
            <w:r w:rsidR="00A12C99" w:rsidRPr="00A675D3">
              <w:rPr>
                <w:b/>
                <w:color w:val="000000"/>
                <w:sz w:val="20"/>
                <w:szCs w:val="20"/>
              </w:rPr>
              <w:t xml:space="preserve"> (2010-Q1 2011)</w:t>
            </w:r>
          </w:p>
        </w:tc>
        <w:tc>
          <w:tcPr>
            <w:tcW w:w="832" w:type="dxa"/>
            <w:vAlign w:val="center"/>
          </w:tcPr>
          <w:p w:rsidR="00C026C6" w:rsidRPr="00A675D3" w:rsidRDefault="00C026C6"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0.59</w:t>
            </w:r>
          </w:p>
        </w:tc>
        <w:tc>
          <w:tcPr>
            <w:tcW w:w="1053" w:type="dxa"/>
            <w:vAlign w:val="center"/>
          </w:tcPr>
          <w:p w:rsidR="00C026C6" w:rsidRPr="00A675D3" w:rsidRDefault="00C026C6"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0.50</w:t>
            </w:r>
          </w:p>
        </w:tc>
        <w:tc>
          <w:tcPr>
            <w:tcW w:w="901" w:type="dxa"/>
            <w:vAlign w:val="center"/>
          </w:tcPr>
          <w:p w:rsidR="00C026C6" w:rsidRPr="00A675D3" w:rsidRDefault="00C026C6"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0.55</w:t>
            </w:r>
          </w:p>
        </w:tc>
        <w:tc>
          <w:tcPr>
            <w:tcW w:w="1110" w:type="dxa"/>
            <w:vAlign w:val="center"/>
          </w:tcPr>
          <w:p w:rsidR="00C026C6" w:rsidRPr="00A675D3" w:rsidRDefault="00C026C6"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0.57</w:t>
            </w:r>
          </w:p>
        </w:tc>
        <w:tc>
          <w:tcPr>
            <w:tcW w:w="2121" w:type="dxa"/>
            <w:vAlign w:val="center"/>
          </w:tcPr>
          <w:p w:rsidR="00C026C6" w:rsidRPr="00A675D3" w:rsidRDefault="00C026C6" w:rsidP="00A675D3">
            <w:pPr>
              <w:keepNext/>
              <w:keepLines/>
              <w:autoSpaceDE w:val="0"/>
              <w:autoSpaceDN w:val="0"/>
              <w:adjustRightInd w:val="0"/>
              <w:spacing w:before="40" w:after="40" w:line="240" w:lineRule="auto"/>
              <w:jc w:val="center"/>
              <w:rPr>
                <w:color w:val="000000"/>
                <w:sz w:val="20"/>
                <w:szCs w:val="20"/>
              </w:rPr>
            </w:pPr>
          </w:p>
        </w:tc>
      </w:tr>
    </w:tbl>
    <w:p w:rsidR="00C026C6" w:rsidRDefault="00C026C6" w:rsidP="00A675D3">
      <w:pPr>
        <w:pStyle w:val="Halfline"/>
      </w:pPr>
    </w:p>
    <w:p w:rsidR="005A7677" w:rsidRDefault="005A7677" w:rsidP="00A675D3">
      <w:r>
        <w:t>R</w:t>
      </w:r>
      <w:r w:rsidR="00D95DAD">
        <w:t>ecent NTGR research completed in MA (using similar methods to what was used in CA for 2006-2008) produced a NTGR estimate of 0.43 for basic CFLs</w:t>
      </w:r>
      <w:r>
        <w:t xml:space="preserve"> during 2010</w:t>
      </w:r>
      <w:r w:rsidR="00D95DAD">
        <w:t>.</w:t>
      </w:r>
      <w:r w:rsidR="001D026B">
        <w:t xml:space="preserve"> </w:t>
      </w:r>
      <w:r w:rsidR="00D95DAD">
        <w:t xml:space="preserve"> </w:t>
      </w:r>
      <w:r>
        <w:t xml:space="preserve">A recent study completed for ComEd (Illinois) using some of these similar methods determined that the NTGR estimate for a similar upstream CFL program implemented from mid-2009 through mid-2010 was 0.58.  </w:t>
      </w:r>
      <w:fldSimple w:instr=" REF _Ref307399665 ">
        <w:r w:rsidR="00321F09">
          <w:t xml:space="preserve">Table </w:t>
        </w:r>
        <w:r w:rsidR="00321F09">
          <w:rPr>
            <w:noProof/>
          </w:rPr>
          <w:t>8</w:t>
        </w:r>
        <w:r w:rsidR="00321F09">
          <w:noBreakHyphen/>
        </w:r>
        <w:r w:rsidR="00321F09">
          <w:rPr>
            <w:noProof/>
          </w:rPr>
          <w:t>5</w:t>
        </w:r>
        <w:r w:rsidR="00321F09">
          <w:t xml:space="preserve"> </w:t>
        </w:r>
      </w:fldSimple>
      <w:r>
        <w:t>compares the NTGR results from the 2006-2008 CA study with these other studies from MA and IL.</w:t>
      </w:r>
    </w:p>
    <w:p w:rsidR="005A7677" w:rsidRDefault="0000336D" w:rsidP="0000336D">
      <w:pPr>
        <w:pStyle w:val="Caption"/>
      </w:pPr>
      <w:bookmarkStart w:id="5" w:name="_Ref307925990"/>
      <w:bookmarkStart w:id="6" w:name="_Ref307399665"/>
      <w:r>
        <w:lastRenderedPageBreak/>
        <w:t xml:space="preserve">Table </w:t>
      </w:r>
      <w:r w:rsidR="00C66EDC">
        <w:fldChar w:fldCharType="begin"/>
      </w:r>
      <w:r w:rsidR="00867F3B">
        <w:instrText xml:space="preserve"> STYLEREF 1 \s </w:instrText>
      </w:r>
      <w:r w:rsidR="00C66EDC">
        <w:fldChar w:fldCharType="separate"/>
      </w:r>
      <w:r w:rsidR="00321F09">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321F09">
        <w:rPr>
          <w:noProof/>
        </w:rPr>
        <w:t>5</w:t>
      </w:r>
      <w:r w:rsidR="00C66EDC">
        <w:fldChar w:fldCharType="end"/>
      </w:r>
      <w:bookmarkEnd w:id="5"/>
      <w:bookmarkEnd w:id="6"/>
      <w:r w:rsidR="00851D5B">
        <w:t xml:space="preserve">: </w:t>
      </w:r>
      <w:r w:rsidR="005A7677" w:rsidRPr="00A675D3">
        <w:t>CFL NTGR Estimates: Comparison Across Recent Studies</w:t>
      </w:r>
    </w:p>
    <w:tbl>
      <w:tblPr>
        <w:tblW w:w="0" w:type="auto"/>
        <w:tblInd w:w="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3411"/>
        <w:gridCol w:w="1083"/>
        <w:gridCol w:w="1083"/>
        <w:gridCol w:w="672"/>
        <w:gridCol w:w="994"/>
        <w:gridCol w:w="816"/>
        <w:gridCol w:w="1206"/>
      </w:tblGrid>
      <w:tr w:rsidR="005A7677" w:rsidRPr="00A675D3" w:rsidTr="00A675D3">
        <w:tc>
          <w:tcPr>
            <w:tcW w:w="0" w:type="auto"/>
            <w:vMerge w:val="restart"/>
            <w:tcBorders>
              <w:top w:val="single" w:sz="12" w:space="0" w:color="auto"/>
              <w:bottom w:val="single" w:sz="6"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left"/>
              <w:rPr>
                <w:b/>
                <w:color w:val="000000"/>
                <w:sz w:val="20"/>
                <w:szCs w:val="20"/>
              </w:rPr>
            </w:pPr>
          </w:p>
        </w:tc>
        <w:tc>
          <w:tcPr>
            <w:tcW w:w="0" w:type="auto"/>
            <w:gridSpan w:val="2"/>
            <w:tcBorders>
              <w:top w:val="single" w:sz="12" w:space="0" w:color="auto"/>
              <w:bottom w:val="single" w:sz="6"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CA (2006-2008)</w:t>
            </w:r>
          </w:p>
        </w:tc>
        <w:tc>
          <w:tcPr>
            <w:tcW w:w="0" w:type="auto"/>
            <w:gridSpan w:val="2"/>
            <w:tcBorders>
              <w:top w:val="single" w:sz="12" w:space="0" w:color="auto"/>
              <w:bottom w:val="single" w:sz="6"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MA (2010)</w:t>
            </w:r>
            <w:r w:rsidR="003068FA" w:rsidRPr="00A675D3">
              <w:rPr>
                <w:rStyle w:val="FootnoteReference"/>
                <w:b/>
                <w:sz w:val="20"/>
                <w:szCs w:val="20"/>
              </w:rPr>
              <w:footnoteReference w:id="8"/>
            </w:r>
          </w:p>
        </w:tc>
        <w:tc>
          <w:tcPr>
            <w:tcW w:w="0" w:type="auto"/>
            <w:gridSpan w:val="2"/>
            <w:tcBorders>
              <w:top w:val="single" w:sz="12" w:space="0" w:color="auto"/>
              <w:bottom w:val="single" w:sz="6" w:space="0" w:color="auto"/>
            </w:tcBorders>
            <w:shd w:val="pct20" w:color="auto" w:fill="auto"/>
            <w:vAlign w:val="bottom"/>
          </w:tcPr>
          <w:p w:rsidR="005A7677" w:rsidRPr="00A675D3" w:rsidRDefault="009D3840"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ComEd</w:t>
            </w:r>
            <w:r w:rsidR="005A7677" w:rsidRPr="00A675D3">
              <w:rPr>
                <w:b/>
                <w:color w:val="000000"/>
                <w:sz w:val="20"/>
                <w:szCs w:val="20"/>
              </w:rPr>
              <w:t xml:space="preserve"> (2009-2010)</w:t>
            </w:r>
            <w:r w:rsidR="003068FA" w:rsidRPr="00A675D3">
              <w:rPr>
                <w:rStyle w:val="FootnoteReference"/>
                <w:b/>
                <w:sz w:val="20"/>
                <w:szCs w:val="20"/>
              </w:rPr>
              <w:footnoteReference w:id="9"/>
            </w:r>
          </w:p>
        </w:tc>
      </w:tr>
      <w:tr w:rsidR="005A7677" w:rsidRPr="00A675D3" w:rsidTr="00A675D3">
        <w:tc>
          <w:tcPr>
            <w:tcW w:w="0" w:type="auto"/>
            <w:vMerge/>
            <w:tcBorders>
              <w:top w:val="single" w:sz="6" w:space="0" w:color="auto"/>
              <w:bottom w:val="single" w:sz="12" w:space="0" w:color="auto"/>
            </w:tcBorders>
            <w:shd w:val="pct20" w:color="auto" w:fill="auto"/>
            <w:vAlign w:val="center"/>
          </w:tcPr>
          <w:p w:rsidR="005A7677" w:rsidRPr="00A675D3" w:rsidRDefault="005A7677" w:rsidP="00A675D3">
            <w:pPr>
              <w:keepNext/>
              <w:keepLines/>
              <w:autoSpaceDE w:val="0"/>
              <w:autoSpaceDN w:val="0"/>
              <w:adjustRightInd w:val="0"/>
              <w:spacing w:before="40" w:after="40" w:line="240" w:lineRule="auto"/>
              <w:jc w:val="left"/>
              <w:rPr>
                <w:b/>
                <w:color w:val="000000"/>
                <w:sz w:val="20"/>
                <w:szCs w:val="20"/>
              </w:rPr>
            </w:pP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Basic</w:t>
            </w: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Specialty</w:t>
            </w: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Basic</w:t>
            </w: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Specialty</w:t>
            </w: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Basic</w:t>
            </w:r>
          </w:p>
        </w:tc>
        <w:tc>
          <w:tcPr>
            <w:tcW w:w="0" w:type="auto"/>
            <w:tcBorders>
              <w:top w:val="single" w:sz="6" w:space="0" w:color="auto"/>
              <w:bottom w:val="single" w:sz="12" w:space="0" w:color="auto"/>
            </w:tcBorders>
            <w:shd w:val="pct20" w:color="auto" w:fill="auto"/>
            <w:vAlign w:val="bottom"/>
          </w:tcPr>
          <w:p w:rsidR="005A7677" w:rsidRPr="00A675D3" w:rsidRDefault="005A7677" w:rsidP="00A675D3">
            <w:pPr>
              <w:keepNext/>
              <w:keepLines/>
              <w:autoSpaceDE w:val="0"/>
              <w:autoSpaceDN w:val="0"/>
              <w:adjustRightInd w:val="0"/>
              <w:spacing w:before="40" w:after="40" w:line="240" w:lineRule="auto"/>
              <w:jc w:val="center"/>
              <w:rPr>
                <w:b/>
                <w:color w:val="000000"/>
                <w:sz w:val="20"/>
                <w:szCs w:val="20"/>
              </w:rPr>
            </w:pPr>
            <w:r w:rsidRPr="00A675D3">
              <w:rPr>
                <w:b/>
                <w:color w:val="000000"/>
                <w:sz w:val="20"/>
                <w:szCs w:val="20"/>
              </w:rPr>
              <w:t>Specialty</w:t>
            </w:r>
          </w:p>
        </w:tc>
      </w:tr>
      <w:tr w:rsidR="005A7677" w:rsidRPr="00A675D3" w:rsidTr="001D026B">
        <w:tc>
          <w:tcPr>
            <w:tcW w:w="0" w:type="auto"/>
            <w:tcBorders>
              <w:top w:val="single" w:sz="12" w:space="0" w:color="auto"/>
            </w:tcBorders>
            <w:vAlign w:val="center"/>
          </w:tcPr>
          <w:p w:rsidR="005A7677" w:rsidRPr="00A675D3" w:rsidRDefault="005A7677" w:rsidP="00A675D3">
            <w:pPr>
              <w:keepNext/>
              <w:keepLines/>
              <w:autoSpaceDE w:val="0"/>
              <w:autoSpaceDN w:val="0"/>
              <w:adjustRightInd w:val="0"/>
              <w:spacing w:before="40" w:after="40" w:line="240" w:lineRule="auto"/>
              <w:jc w:val="left"/>
              <w:rPr>
                <w:b/>
                <w:bCs/>
                <w:color w:val="000000"/>
                <w:sz w:val="20"/>
                <w:szCs w:val="20"/>
              </w:rPr>
            </w:pPr>
            <w:r w:rsidRPr="00A675D3">
              <w:rPr>
                <w:b/>
                <w:bCs/>
                <w:color w:val="000000"/>
                <w:sz w:val="20"/>
                <w:szCs w:val="20"/>
              </w:rPr>
              <w:t>Final Recommended NTGR Estimate</w:t>
            </w:r>
          </w:p>
        </w:tc>
        <w:tc>
          <w:tcPr>
            <w:tcW w:w="0" w:type="auto"/>
            <w:gridSpan w:val="2"/>
            <w:tcBorders>
              <w:top w:val="single" w:sz="12" w:space="0" w:color="auto"/>
            </w:tcBorders>
            <w:vAlign w:val="center"/>
          </w:tcPr>
          <w:p w:rsidR="005A7677" w:rsidRPr="00A675D3" w:rsidRDefault="005A7677" w:rsidP="001D026B">
            <w:pPr>
              <w:keepNext/>
              <w:keepLines/>
              <w:autoSpaceDE w:val="0"/>
              <w:autoSpaceDN w:val="0"/>
              <w:adjustRightInd w:val="0"/>
              <w:spacing w:before="40" w:after="40" w:line="240" w:lineRule="auto"/>
              <w:jc w:val="center"/>
              <w:rPr>
                <w:b/>
                <w:bCs/>
                <w:color w:val="000000"/>
                <w:sz w:val="20"/>
                <w:szCs w:val="20"/>
              </w:rPr>
            </w:pPr>
            <w:r w:rsidRPr="00A675D3">
              <w:rPr>
                <w:b/>
                <w:bCs/>
                <w:color w:val="000000"/>
                <w:sz w:val="20"/>
                <w:szCs w:val="20"/>
              </w:rPr>
              <w:t>0.54</w:t>
            </w:r>
          </w:p>
        </w:tc>
        <w:tc>
          <w:tcPr>
            <w:tcW w:w="0" w:type="auto"/>
            <w:tcBorders>
              <w:top w:val="single" w:sz="12" w:space="0" w:color="auto"/>
            </w:tcBorders>
            <w:vAlign w:val="center"/>
          </w:tcPr>
          <w:p w:rsidR="005A7677" w:rsidRPr="00A675D3" w:rsidRDefault="005A7677" w:rsidP="001D026B">
            <w:pPr>
              <w:keepNext/>
              <w:keepLines/>
              <w:autoSpaceDE w:val="0"/>
              <w:autoSpaceDN w:val="0"/>
              <w:adjustRightInd w:val="0"/>
              <w:spacing w:before="40" w:after="40" w:line="240" w:lineRule="auto"/>
              <w:jc w:val="center"/>
              <w:rPr>
                <w:b/>
                <w:bCs/>
                <w:color w:val="000000"/>
                <w:sz w:val="20"/>
                <w:szCs w:val="20"/>
              </w:rPr>
            </w:pPr>
            <w:r w:rsidRPr="00A675D3">
              <w:rPr>
                <w:b/>
                <w:bCs/>
                <w:color w:val="000000"/>
                <w:sz w:val="20"/>
                <w:szCs w:val="20"/>
              </w:rPr>
              <w:t>0.43</w:t>
            </w:r>
          </w:p>
        </w:tc>
        <w:tc>
          <w:tcPr>
            <w:tcW w:w="0" w:type="auto"/>
            <w:tcBorders>
              <w:top w:val="single" w:sz="12" w:space="0" w:color="auto"/>
            </w:tcBorders>
            <w:vAlign w:val="center"/>
          </w:tcPr>
          <w:p w:rsidR="005A7677" w:rsidRPr="00A675D3" w:rsidRDefault="005A7677" w:rsidP="001D026B">
            <w:pPr>
              <w:keepNext/>
              <w:keepLines/>
              <w:autoSpaceDE w:val="0"/>
              <w:autoSpaceDN w:val="0"/>
              <w:adjustRightInd w:val="0"/>
              <w:spacing w:before="40" w:after="40" w:line="240" w:lineRule="auto"/>
              <w:jc w:val="center"/>
              <w:rPr>
                <w:b/>
                <w:bCs/>
                <w:color w:val="000000"/>
                <w:sz w:val="20"/>
                <w:szCs w:val="20"/>
              </w:rPr>
            </w:pPr>
            <w:r w:rsidRPr="00A675D3">
              <w:rPr>
                <w:b/>
                <w:bCs/>
                <w:color w:val="000000"/>
                <w:sz w:val="20"/>
                <w:szCs w:val="20"/>
              </w:rPr>
              <w:t>0.60</w:t>
            </w:r>
          </w:p>
        </w:tc>
        <w:tc>
          <w:tcPr>
            <w:tcW w:w="0" w:type="auto"/>
            <w:gridSpan w:val="2"/>
            <w:tcBorders>
              <w:top w:val="single" w:sz="12" w:space="0" w:color="auto"/>
            </w:tcBorders>
            <w:vAlign w:val="center"/>
          </w:tcPr>
          <w:p w:rsidR="005A7677" w:rsidRPr="00A675D3" w:rsidRDefault="005A7677" w:rsidP="001D026B">
            <w:pPr>
              <w:keepNext/>
              <w:keepLines/>
              <w:autoSpaceDE w:val="0"/>
              <w:autoSpaceDN w:val="0"/>
              <w:adjustRightInd w:val="0"/>
              <w:spacing w:before="40" w:after="40" w:line="240" w:lineRule="auto"/>
              <w:jc w:val="center"/>
              <w:rPr>
                <w:b/>
                <w:bCs/>
                <w:color w:val="000000"/>
                <w:sz w:val="20"/>
                <w:szCs w:val="20"/>
              </w:rPr>
            </w:pPr>
            <w:r w:rsidRPr="00A675D3">
              <w:rPr>
                <w:b/>
                <w:bCs/>
                <w:color w:val="000000"/>
                <w:sz w:val="20"/>
                <w:szCs w:val="20"/>
              </w:rPr>
              <w:t>0.58</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Conjoint Model</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w:t>
            </w:r>
            <w:r w:rsidR="00FB33E6" w:rsidRPr="00A675D3">
              <w:rPr>
                <w:color w:val="000000"/>
                <w:sz w:val="20"/>
                <w:szCs w:val="20"/>
              </w:rPr>
              <w:t>0</w:t>
            </w:r>
            <w:r w:rsidRPr="00A675D3">
              <w:rPr>
                <w:color w:val="000000"/>
                <w:sz w:val="20"/>
                <w:szCs w:val="20"/>
              </w:rPr>
              <w:t>6 - 0.44</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0.14 - 0.66</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n/a</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0.59</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n/a</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Multistate Model</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0.23 - 0.63</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0.45</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n/a</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Revealed Preference Model</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0.20 - 0.33</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0.60</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0.37</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0.31</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0.21</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Stated Preference Model</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0.42</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n/a</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n/a</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 xml:space="preserve">Consumer </w:t>
            </w:r>
            <w:r w:rsidR="00FB33E6" w:rsidRPr="00A675D3">
              <w:rPr>
                <w:color w:val="000000"/>
                <w:sz w:val="20"/>
                <w:szCs w:val="20"/>
              </w:rPr>
              <w:t>Self-Report</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0.15</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0.49</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0.31</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0.57 - 0.60</w:t>
            </w:r>
          </w:p>
        </w:tc>
      </w:tr>
      <w:tr w:rsidR="005A7677" w:rsidRPr="00A675D3" w:rsidTr="001D026B">
        <w:tc>
          <w:tcPr>
            <w:tcW w:w="0" w:type="auto"/>
            <w:vAlign w:val="center"/>
          </w:tcPr>
          <w:p w:rsidR="005A7677" w:rsidRPr="00A675D3" w:rsidRDefault="005A7677" w:rsidP="00A675D3">
            <w:pPr>
              <w:keepNext/>
              <w:keepLines/>
              <w:autoSpaceDE w:val="0"/>
              <w:autoSpaceDN w:val="0"/>
              <w:adjustRightInd w:val="0"/>
              <w:spacing w:before="40" w:after="40" w:line="240" w:lineRule="auto"/>
              <w:jc w:val="left"/>
              <w:rPr>
                <w:color w:val="000000"/>
                <w:sz w:val="20"/>
                <w:szCs w:val="20"/>
              </w:rPr>
            </w:pPr>
            <w:r w:rsidRPr="00A675D3">
              <w:rPr>
                <w:color w:val="000000"/>
                <w:sz w:val="20"/>
                <w:szCs w:val="20"/>
              </w:rPr>
              <w:t>Supplier Self-Report</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0.74</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0.72</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0.39</w:t>
            </w:r>
          </w:p>
        </w:tc>
        <w:tc>
          <w:tcPr>
            <w:tcW w:w="0" w:type="auto"/>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0.49</w:t>
            </w:r>
          </w:p>
        </w:tc>
        <w:tc>
          <w:tcPr>
            <w:tcW w:w="0" w:type="auto"/>
            <w:gridSpan w:val="2"/>
            <w:vAlign w:val="center"/>
          </w:tcPr>
          <w:p w:rsidR="005A7677" w:rsidRPr="00A675D3" w:rsidRDefault="005A7677" w:rsidP="001D026B">
            <w:pPr>
              <w:keepNext/>
              <w:keepLines/>
              <w:autoSpaceDE w:val="0"/>
              <w:autoSpaceDN w:val="0"/>
              <w:adjustRightInd w:val="0"/>
              <w:spacing w:before="40" w:after="40" w:line="240" w:lineRule="auto"/>
              <w:jc w:val="center"/>
              <w:rPr>
                <w:color w:val="000000"/>
                <w:sz w:val="20"/>
                <w:szCs w:val="20"/>
              </w:rPr>
            </w:pPr>
            <w:r w:rsidRPr="00A675D3">
              <w:rPr>
                <w:color w:val="000000"/>
                <w:sz w:val="20"/>
                <w:szCs w:val="20"/>
              </w:rPr>
              <w:t>0.44</w:t>
            </w:r>
          </w:p>
        </w:tc>
      </w:tr>
      <w:tr w:rsidR="00FD06FF" w:rsidRPr="00A675D3" w:rsidTr="001D026B">
        <w:tc>
          <w:tcPr>
            <w:tcW w:w="0" w:type="auto"/>
            <w:vAlign w:val="center"/>
          </w:tcPr>
          <w:p w:rsidR="00FD06FF" w:rsidRPr="00A675D3" w:rsidRDefault="00FD06FF" w:rsidP="00A675D3">
            <w:pPr>
              <w:keepNext/>
              <w:keepLines/>
              <w:autoSpaceDE w:val="0"/>
              <w:autoSpaceDN w:val="0"/>
              <w:adjustRightInd w:val="0"/>
              <w:spacing w:before="40" w:after="40" w:line="240" w:lineRule="auto"/>
              <w:jc w:val="left"/>
              <w:rPr>
                <w:i/>
                <w:color w:val="000000"/>
                <w:sz w:val="20"/>
                <w:szCs w:val="20"/>
              </w:rPr>
            </w:pPr>
            <w:r w:rsidRPr="00A675D3">
              <w:rPr>
                <w:i/>
                <w:color w:val="000000"/>
                <w:sz w:val="20"/>
                <w:szCs w:val="20"/>
              </w:rPr>
              <w:t>Program Discounted CFLs (millions)</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105.1</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20.5</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1.4</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1.2</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7.4</w:t>
            </w:r>
          </w:p>
        </w:tc>
        <w:tc>
          <w:tcPr>
            <w:tcW w:w="0" w:type="auto"/>
            <w:vAlign w:val="center"/>
          </w:tcPr>
          <w:p w:rsidR="00FD06FF" w:rsidRPr="00A675D3" w:rsidRDefault="00FD06FF" w:rsidP="001D026B">
            <w:pPr>
              <w:keepNext/>
              <w:keepLines/>
              <w:autoSpaceDE w:val="0"/>
              <w:autoSpaceDN w:val="0"/>
              <w:adjustRightInd w:val="0"/>
              <w:spacing w:before="40" w:after="40" w:line="240" w:lineRule="auto"/>
              <w:jc w:val="center"/>
              <w:rPr>
                <w:i/>
                <w:color w:val="000000"/>
                <w:sz w:val="20"/>
                <w:szCs w:val="20"/>
              </w:rPr>
            </w:pPr>
            <w:r w:rsidRPr="00A675D3">
              <w:rPr>
                <w:i/>
                <w:color w:val="000000"/>
                <w:sz w:val="20"/>
                <w:szCs w:val="20"/>
              </w:rPr>
              <w:t>0.8</w:t>
            </w:r>
          </w:p>
        </w:tc>
      </w:tr>
    </w:tbl>
    <w:p w:rsidR="005A7677" w:rsidRDefault="005A7677" w:rsidP="00A675D3">
      <w:pPr>
        <w:pStyle w:val="Halfline"/>
      </w:pPr>
    </w:p>
    <w:p w:rsidR="00744D1F" w:rsidRDefault="00744D1F" w:rsidP="00744D1F">
      <w:pPr>
        <w:pStyle w:val="Heading4"/>
      </w:pPr>
      <w:r>
        <w:t>MA Study</w:t>
      </w:r>
    </w:p>
    <w:p w:rsidR="00472A79" w:rsidRDefault="00472A79" w:rsidP="00472A79">
      <w:r w:rsidRPr="00B73356">
        <w:t>As mentioned above, the MA study used similar methods to determine NTGR estimates</w:t>
      </w:r>
      <w:r>
        <w:t xml:space="preserve"> but it also included a Delphi panel to integrate the results. </w:t>
      </w:r>
      <w:r w:rsidR="001D026B">
        <w:t xml:space="preserve"> </w:t>
      </w:r>
      <w:r>
        <w:t xml:space="preserve">The overall result of 0.43 for basic CFLs was generally in line with all of the other individual NTGR results from each specific method. </w:t>
      </w:r>
      <w:r w:rsidRPr="00B73356">
        <w:t xml:space="preserve"> </w:t>
      </w:r>
    </w:p>
    <w:p w:rsidR="00472A79" w:rsidRDefault="00FD06FF" w:rsidP="00744D1F">
      <w:r>
        <w:t>In MA, t</w:t>
      </w:r>
      <w:r w:rsidR="007A2D0E">
        <w:t>he 2010 program</w:t>
      </w:r>
      <w:r>
        <w:t>s</w:t>
      </w:r>
      <w:r w:rsidR="007A2D0E">
        <w:t xml:space="preserve"> differed from prior programs in that hard-to-reach households </w:t>
      </w:r>
      <w:r>
        <w:t xml:space="preserve">were targeted </w:t>
      </w:r>
      <w:r w:rsidR="007A2D0E">
        <w:t xml:space="preserve">by </w:t>
      </w:r>
      <w:r w:rsidR="007A2D0E" w:rsidRPr="007A2D0E">
        <w:t>expand</w:t>
      </w:r>
      <w:r w:rsidR="007A2D0E">
        <w:t xml:space="preserve">ing CFL distributions in dollar </w:t>
      </w:r>
      <w:r w:rsidR="007A2D0E" w:rsidRPr="007A2D0E">
        <w:t>stores, discount stores, bargain stores, thrift stores, ethnic markets, and stores of various types located in low-income neighborhoods or market areas</w:t>
      </w:r>
      <w:r w:rsidR="007A2D0E">
        <w:t xml:space="preserve">. </w:t>
      </w:r>
      <w:r w:rsidR="001D026B">
        <w:t xml:space="preserve"> </w:t>
      </w:r>
      <w:r>
        <w:t xml:space="preserve">However, the </w:t>
      </w:r>
      <w:r w:rsidR="00744D1F" w:rsidRPr="00744D1F">
        <w:t xml:space="preserve">MA study did not produce </w:t>
      </w:r>
      <w:r w:rsidR="0091537A">
        <w:t xml:space="preserve">overall </w:t>
      </w:r>
      <w:r w:rsidR="00744D1F" w:rsidRPr="00744D1F">
        <w:t xml:space="preserve">NTGR estimates by channel. </w:t>
      </w:r>
      <w:r w:rsidR="001D026B">
        <w:t xml:space="preserve"> </w:t>
      </w:r>
      <w:r w:rsidR="00472A79">
        <w:t xml:space="preserve">However, the MA study did produce NTGR estimates by channel using the supplier self report method. </w:t>
      </w:r>
      <w:r w:rsidR="001D026B">
        <w:t xml:space="preserve"> </w:t>
      </w:r>
      <w:r w:rsidR="00472A79">
        <w:t xml:space="preserve">This method produced a NTGR estimate of 0.72 for basic CFLs for the discount/HTR channel, which was much higher than any of the other channel-specific estimates produced using the supplier self report method. </w:t>
      </w:r>
    </w:p>
    <w:p w:rsidR="00472A79" w:rsidRDefault="00472A79" w:rsidP="007B2479">
      <w:r>
        <w:t>Despite targeting HTR households through expanded distributions in HTR channels (including discount stores), only about 9% of all basic CFLs distributed through MA 2010 program were distributed through HTR/discount channels.</w:t>
      </w:r>
      <w:r w:rsidR="001D026B">
        <w:t xml:space="preserve"> </w:t>
      </w:r>
      <w:r>
        <w:t xml:space="preserve"> In contrast, the CA programs distributed about 17% of all basic CFLs through discount channels.</w:t>
      </w:r>
    </w:p>
    <w:p w:rsidR="007B2479" w:rsidRDefault="00472A79" w:rsidP="007B2479">
      <w:r>
        <w:t xml:space="preserve">Given the relatively larger emphasis placed on basic CFLs distributed through discount channels in CA, and the consistently higher NTGR estimate derived from supplier self-reports for this channel, </w:t>
      </w:r>
      <w:r w:rsidR="00744D1F" w:rsidRPr="00744D1F">
        <w:t xml:space="preserve">it is </w:t>
      </w:r>
      <w:r>
        <w:t xml:space="preserve">reasonable to assume that CA’s overall NTGR estimate for all basic CFLs would be </w:t>
      </w:r>
      <w:r>
        <w:lastRenderedPageBreak/>
        <w:t xml:space="preserve">higher than the overall NTGR estimate produced through the MA study. </w:t>
      </w:r>
      <w:r w:rsidR="001D026B">
        <w:t xml:space="preserve"> </w:t>
      </w:r>
      <w:r>
        <w:t xml:space="preserve">Said another way, the MA 2010 program distributed </w:t>
      </w:r>
      <w:r w:rsidR="00245EB7">
        <w:t xml:space="preserve">proportionally </w:t>
      </w:r>
      <w:r>
        <w:t xml:space="preserve">more basic CFLs through channels </w:t>
      </w:r>
      <w:r w:rsidR="00245EB7">
        <w:t xml:space="preserve">expected to have lower NTGR estimates and as such it is reasonable to expect that the overall NTGR estimate for the MA 2010 program would be lower than an estimate derived for the CA programs. </w:t>
      </w:r>
    </w:p>
    <w:p w:rsidR="009D3840" w:rsidRDefault="009D3840" w:rsidP="009D3840">
      <w:pPr>
        <w:pStyle w:val="Heading4"/>
      </w:pPr>
      <w:r>
        <w:t>ComEd Study</w:t>
      </w:r>
    </w:p>
    <w:p w:rsidR="009D3840" w:rsidRDefault="00FB33E6" w:rsidP="009D3840">
      <w:r>
        <w:t xml:space="preserve">The </w:t>
      </w:r>
      <w:r w:rsidR="009D3840">
        <w:t xml:space="preserve">ComEd </w:t>
      </w:r>
      <w:r>
        <w:t xml:space="preserve">program </w:t>
      </w:r>
      <w:r w:rsidR="009D3840">
        <w:t xml:space="preserve">in 2009-2010 </w:t>
      </w:r>
      <w:r>
        <w:t>was similar to the CA IOU programs in 2006-2008 in that it was almost exclusively an upstream buy</w:t>
      </w:r>
      <w:r w:rsidR="00681220">
        <w:t>-</w:t>
      </w:r>
      <w:r>
        <w:t>down</w:t>
      </w:r>
      <w:r w:rsidR="00681220">
        <w:t xml:space="preserve"> </w:t>
      </w:r>
      <w:r>
        <w:t xml:space="preserve">type of program in which specialty CFLs represented less than 10% of total CFLs discounted through the program. </w:t>
      </w:r>
      <w:r w:rsidR="001D026B">
        <w:t xml:space="preserve"> </w:t>
      </w:r>
      <w:r>
        <w:t>However, the ComEd program differed somewhat significantly from CA in that 90% of the CFLs discounted through the program were di</w:t>
      </w:r>
      <w:r w:rsidR="003068FA">
        <w:t>stributed through the “big box,” “</w:t>
      </w:r>
      <w:r>
        <w:t>DIY” and membership club channels.</w:t>
      </w:r>
      <w:r w:rsidR="001D026B">
        <w:t xml:space="preserve"> </w:t>
      </w:r>
      <w:r>
        <w:t xml:space="preserve"> </w:t>
      </w:r>
      <w:r w:rsidR="0083495B">
        <w:t xml:space="preserve">In comparison, during a similar time period, the CA programs distributed less than 30% of basic CFLs through these channels. </w:t>
      </w:r>
    </w:p>
    <w:p w:rsidR="00FB33E6" w:rsidRDefault="00FB33E6" w:rsidP="009D3840">
      <w:r>
        <w:t>The overall NTGR estimate of 0.58 was determined by averaging the customer self report methods (0.57 and 0.60, average 0.58).</w:t>
      </w:r>
      <w:r w:rsidR="001D026B">
        <w:t xml:space="preserve"> </w:t>
      </w:r>
      <w:r>
        <w:t xml:space="preserve"> The evaluators rejected the revealed preference results because of instability in the model, as well as other data issues and constraints. </w:t>
      </w:r>
      <w:r w:rsidR="001D026B">
        <w:t xml:space="preserve"> </w:t>
      </w:r>
      <w:r>
        <w:t xml:space="preserve">The evaluators also rejected the supplier self-report results due to concerns over potential bias from </w:t>
      </w:r>
      <w:r w:rsidR="00681220">
        <w:t xml:space="preserve">a </w:t>
      </w:r>
      <w:r>
        <w:t>small sample</w:t>
      </w:r>
      <w:r w:rsidR="00681220">
        <w:t>.</w:t>
      </w:r>
      <w:r>
        <w:t xml:space="preserve"> </w:t>
      </w:r>
    </w:p>
    <w:p w:rsidR="009D3840" w:rsidRDefault="0083495B" w:rsidP="0083495B">
      <w:pPr>
        <w:pStyle w:val="Heading4"/>
      </w:pPr>
      <w:r>
        <w:t xml:space="preserve">Final </w:t>
      </w:r>
      <w:r w:rsidR="009D3840">
        <w:t xml:space="preserve">Recommended NTGR Estimate for </w:t>
      </w:r>
      <w:r w:rsidR="00BF6E94">
        <w:t>Residential</w:t>
      </w:r>
      <w:r w:rsidR="00686182">
        <w:t xml:space="preserve"> </w:t>
      </w:r>
      <w:r w:rsidR="009D3840">
        <w:t>CFLs</w:t>
      </w:r>
    </w:p>
    <w:p w:rsidR="00B8720B" w:rsidRDefault="00473CEC" w:rsidP="009D3840">
      <w:r>
        <w:t xml:space="preserve">The DEER team reviewed the range of NTGR estimates produced </w:t>
      </w:r>
      <w:r w:rsidR="001D595B">
        <w:t xml:space="preserve">for each sales channel in KEMA’s </w:t>
      </w:r>
      <w:r>
        <w:t>2006-08 evaluation</w:t>
      </w:r>
      <w:r w:rsidR="001D595B">
        <w:t xml:space="preserve"> of the upstream lighting programs. </w:t>
      </w:r>
      <w:r w:rsidR="00867F3B">
        <w:t>(See</w:t>
      </w:r>
      <w:r w:rsidR="00B8720B">
        <w:t xml:space="preserve"> </w:t>
      </w:r>
      <w:r w:rsidR="00C66EDC">
        <w:fldChar w:fldCharType="begin"/>
      </w:r>
      <w:r w:rsidR="00867F3B">
        <w:instrText xml:space="preserve"> REF _Ref307925576 \h </w:instrText>
      </w:r>
      <w:r w:rsidR="00C66EDC">
        <w:fldChar w:fldCharType="separate"/>
      </w:r>
      <w:r w:rsidR="00321F09">
        <w:t xml:space="preserve">Table </w:t>
      </w:r>
      <w:r w:rsidR="00321F09">
        <w:rPr>
          <w:noProof/>
        </w:rPr>
        <w:t>8</w:t>
      </w:r>
      <w:r w:rsidR="00321F09">
        <w:noBreakHyphen/>
      </w:r>
      <w:r w:rsidR="00321F09">
        <w:rPr>
          <w:noProof/>
        </w:rPr>
        <w:t>1</w:t>
      </w:r>
      <w:r w:rsidR="00C66EDC">
        <w:fldChar w:fldCharType="end"/>
      </w:r>
      <w:r w:rsidR="00B8720B">
        <w:t xml:space="preserve">) </w:t>
      </w:r>
      <w:r w:rsidR="001D595B">
        <w:t xml:space="preserve">The group identified two specific sales channels, discount stores and </w:t>
      </w:r>
      <w:r w:rsidR="00867F3B">
        <w:t>small independent grocery stores</w:t>
      </w:r>
      <w:r w:rsidR="001D595B">
        <w:t xml:space="preserve"> that had the greatest variance in NTGR estimates</w:t>
      </w:r>
      <w:r w:rsidR="00B8720B">
        <w:t xml:space="preserve"> within the same channel</w:t>
      </w:r>
      <w:r w:rsidR="001D595B">
        <w:t xml:space="preserve">.  </w:t>
      </w:r>
      <w:r w:rsidR="00B8720B">
        <w:t xml:space="preserve">For example </w:t>
      </w:r>
      <w:r w:rsidR="001D595B">
        <w:t xml:space="preserve">NTGR estimates </w:t>
      </w:r>
      <w:r w:rsidR="00B8720B">
        <w:t xml:space="preserve">from different methods </w:t>
      </w:r>
      <w:r w:rsidR="001D595B">
        <w:t>ranged from 1.0 to 0.</w:t>
      </w:r>
      <w:r w:rsidR="00B8720B">
        <w:t>18</w:t>
      </w:r>
      <w:r w:rsidR="001D595B">
        <w:t xml:space="preserve"> in the discount sales channel</w:t>
      </w:r>
      <w:r w:rsidR="00B8720B">
        <w:t>. In this case KEMA decided on using a final NTGR estimate of 0.90</w:t>
      </w:r>
      <w:r w:rsidR="00867F3B">
        <w:t xml:space="preserve"> in its 200608 evaluation</w:t>
      </w:r>
      <w:r w:rsidR="00B8720B">
        <w:t xml:space="preserve"> because of the compelling evidence presented by suppliers that CFL bulbs would not have been sold in these stores in the absence of the program. </w:t>
      </w:r>
      <w:r w:rsidR="001D595B">
        <w:t xml:space="preserve"> </w:t>
      </w:r>
      <w:r w:rsidR="00B8720B">
        <w:t xml:space="preserve">Other analysts </w:t>
      </w:r>
      <w:r w:rsidR="00867F3B">
        <w:t xml:space="preserve">on the DEER team </w:t>
      </w:r>
      <w:r w:rsidR="00B8720B">
        <w:t>gave more weight to the NTGR estimates derived from customer interview</w:t>
      </w:r>
      <w:r w:rsidR="00662148">
        <w:t xml:space="preserve"> in this channel</w:t>
      </w:r>
      <w:r w:rsidR="00B8720B">
        <w:t xml:space="preserve"> because of the possibility that some small fraction of the customers who purchased CFL in the discount stores would have been free riders if they purchased CFLs in other sales channels   </w:t>
      </w:r>
      <w:r w:rsidR="00662148">
        <w:t xml:space="preserve"> Because all of these approaches contain some uncertainty, the DEER team decided to bound the uncertainty by developing high, medium and low NTGR values for each of the key sales channels</w:t>
      </w:r>
      <w:r w:rsidR="00867F3B">
        <w:t>.</w:t>
      </w:r>
    </w:p>
    <w:p w:rsidR="00473CEC" w:rsidRDefault="00C66EDC" w:rsidP="009D3840">
      <w:r>
        <w:fldChar w:fldCharType="begin"/>
      </w:r>
      <w:r w:rsidR="00851D5B">
        <w:instrText xml:space="preserve"> REF _Ref308127838 \h </w:instrText>
      </w:r>
      <w:r>
        <w:fldChar w:fldCharType="separate"/>
      </w:r>
      <w:r w:rsidR="00851D5B">
        <w:t xml:space="preserve">Table </w:t>
      </w:r>
      <w:r w:rsidR="00851D5B">
        <w:rPr>
          <w:noProof/>
        </w:rPr>
        <w:t>8</w:t>
      </w:r>
      <w:r w:rsidR="00851D5B">
        <w:noBreakHyphen/>
      </w:r>
      <w:r w:rsidR="00851D5B">
        <w:rPr>
          <w:noProof/>
        </w:rPr>
        <w:t>6</w:t>
      </w:r>
      <w:r>
        <w:fldChar w:fldCharType="end"/>
      </w:r>
      <w:r w:rsidR="00851D5B">
        <w:t xml:space="preserve"> </w:t>
      </w:r>
      <w:r w:rsidR="00803DCD">
        <w:t xml:space="preserve">shows the impact of selecting different NTGR results for these key sales channels on the overall Program level NTGR. </w:t>
      </w:r>
      <w:r w:rsidR="00662148">
        <w:t>The table shows that small changes in the judgment used to derive a final NTGR by channel led to a range of over</w:t>
      </w:r>
      <w:r w:rsidR="00851D5B">
        <w:t>all program NTGR from 0.57 to 0.</w:t>
      </w:r>
      <w:r w:rsidR="00662148">
        <w:t>45.</w:t>
      </w:r>
    </w:p>
    <w:p w:rsidR="00BF6E94" w:rsidRDefault="006D6EF7">
      <w:pPr>
        <w:pStyle w:val="Caption"/>
      </w:pPr>
      <w:bookmarkStart w:id="7" w:name="_Ref308127838"/>
      <w:r>
        <w:lastRenderedPageBreak/>
        <w:t xml:space="preserve">Table </w:t>
      </w:r>
      <w:r w:rsidR="00C66EDC">
        <w:fldChar w:fldCharType="begin"/>
      </w:r>
      <w:r w:rsidR="00867F3B">
        <w:instrText xml:space="preserve"> STYLEREF 1 \s </w:instrText>
      </w:r>
      <w:r w:rsidR="00C66EDC">
        <w:fldChar w:fldCharType="separate"/>
      </w:r>
      <w:r w:rsidR="00851D5B">
        <w:rPr>
          <w:noProof/>
        </w:rPr>
        <w:t>8</w:t>
      </w:r>
      <w:r w:rsidR="00C66EDC">
        <w:fldChar w:fldCharType="end"/>
      </w:r>
      <w:r w:rsidR="00867F3B">
        <w:noBreakHyphen/>
      </w:r>
      <w:r w:rsidR="00C66EDC">
        <w:fldChar w:fldCharType="begin"/>
      </w:r>
      <w:r w:rsidR="00867F3B">
        <w:instrText xml:space="preserve"> SEQ Table \* ARABIC \s 1 </w:instrText>
      </w:r>
      <w:r w:rsidR="00C66EDC">
        <w:fldChar w:fldCharType="separate"/>
      </w:r>
      <w:r w:rsidR="00851D5B">
        <w:rPr>
          <w:noProof/>
        </w:rPr>
        <w:t>6</w:t>
      </w:r>
      <w:r w:rsidR="00C66EDC">
        <w:fldChar w:fldCharType="end"/>
      </w:r>
      <w:bookmarkEnd w:id="7"/>
      <w:r w:rsidR="00851D5B">
        <w:t>:</w:t>
      </w:r>
      <w:r>
        <w:t xml:space="preserve"> </w:t>
      </w:r>
      <w:r w:rsidR="00803DCD">
        <w:t xml:space="preserve">Effect of Channel </w:t>
      </w:r>
      <w:r w:rsidR="00851D5B">
        <w:t xml:space="preserve">Level </w:t>
      </w:r>
      <w:r w:rsidR="00803DCD">
        <w:t xml:space="preserve">NTGR on </w:t>
      </w:r>
      <w:r w:rsidR="00851D5B">
        <w:t xml:space="preserve">Overall </w:t>
      </w:r>
      <w:r w:rsidR="00803DCD">
        <w:t>Program NTGR for Residential CFL’s</w:t>
      </w:r>
    </w:p>
    <w:tbl>
      <w:tblPr>
        <w:tblW w:w="8382" w:type="dxa"/>
        <w:tblInd w:w="9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tblPr>
      <w:tblGrid>
        <w:gridCol w:w="1992"/>
        <w:gridCol w:w="1327"/>
        <w:gridCol w:w="1418"/>
        <w:gridCol w:w="1404"/>
        <w:gridCol w:w="13"/>
        <w:gridCol w:w="2228"/>
      </w:tblGrid>
      <w:tr w:rsidR="00803DCD" w:rsidRPr="00851D5B" w:rsidTr="00F54374">
        <w:trPr>
          <w:trHeight w:val="483"/>
        </w:trPr>
        <w:tc>
          <w:tcPr>
            <w:tcW w:w="1992" w:type="dxa"/>
            <w:shd w:val="pct20" w:color="000000" w:fill="FFFFFF" w:themeFill="background1"/>
            <w:noWrap/>
            <w:vAlign w:val="bottom"/>
            <w:hideMark/>
          </w:tcPr>
          <w:p w:rsidR="00803DCD" w:rsidRPr="00851D5B" w:rsidRDefault="00803DCD" w:rsidP="00F54374">
            <w:pPr>
              <w:spacing w:after="0" w:line="240" w:lineRule="auto"/>
              <w:jc w:val="center"/>
              <w:rPr>
                <w:b/>
                <w:color w:val="000000"/>
              </w:rPr>
            </w:pPr>
            <w:r w:rsidRPr="00851D5B">
              <w:rPr>
                <w:b/>
                <w:color w:val="000000"/>
              </w:rPr>
              <w:t>Team</w:t>
            </w:r>
          </w:p>
        </w:tc>
        <w:tc>
          <w:tcPr>
            <w:tcW w:w="4149" w:type="dxa"/>
            <w:gridSpan w:val="3"/>
            <w:shd w:val="pct20" w:color="000000" w:fill="FFFFFF" w:themeFill="background1"/>
            <w:noWrap/>
            <w:vAlign w:val="bottom"/>
            <w:hideMark/>
          </w:tcPr>
          <w:p w:rsidR="00803DCD" w:rsidRPr="00851D5B" w:rsidRDefault="00803DCD" w:rsidP="00F54374">
            <w:pPr>
              <w:spacing w:after="0" w:line="240" w:lineRule="auto"/>
              <w:jc w:val="center"/>
              <w:rPr>
                <w:b/>
                <w:color w:val="000000"/>
              </w:rPr>
            </w:pPr>
            <w:r w:rsidRPr="00851D5B">
              <w:rPr>
                <w:b/>
                <w:color w:val="000000"/>
              </w:rPr>
              <w:t>NTGR by Channel</w:t>
            </w:r>
          </w:p>
        </w:tc>
        <w:tc>
          <w:tcPr>
            <w:tcW w:w="2241" w:type="dxa"/>
            <w:gridSpan w:val="2"/>
            <w:shd w:val="pct20" w:color="000000" w:fill="FFFFFF" w:themeFill="background1"/>
            <w:noWrap/>
            <w:vAlign w:val="bottom"/>
            <w:hideMark/>
          </w:tcPr>
          <w:p w:rsidR="00803DCD" w:rsidRPr="00851D5B" w:rsidRDefault="00803DCD" w:rsidP="00F54374">
            <w:pPr>
              <w:spacing w:after="0" w:line="240" w:lineRule="auto"/>
              <w:jc w:val="center"/>
              <w:rPr>
                <w:b/>
                <w:color w:val="000000"/>
              </w:rPr>
            </w:pPr>
            <w:r w:rsidRPr="00851D5B">
              <w:rPr>
                <w:b/>
                <w:color w:val="000000"/>
              </w:rPr>
              <w:t>Program NTGR</w:t>
            </w:r>
          </w:p>
        </w:tc>
      </w:tr>
      <w:tr w:rsidR="00803DCD" w:rsidRPr="00851D5B" w:rsidTr="00F54374">
        <w:trPr>
          <w:trHeight w:val="708"/>
        </w:trPr>
        <w:tc>
          <w:tcPr>
            <w:tcW w:w="1992" w:type="dxa"/>
            <w:shd w:val="clear" w:color="auto" w:fill="auto"/>
            <w:noWrap/>
            <w:vAlign w:val="bottom"/>
            <w:hideMark/>
          </w:tcPr>
          <w:p w:rsidR="00803DCD" w:rsidRPr="00851D5B" w:rsidRDefault="00803DCD" w:rsidP="00F54374">
            <w:pPr>
              <w:spacing w:after="0" w:line="240" w:lineRule="auto"/>
              <w:jc w:val="center"/>
              <w:rPr>
                <w:color w:val="000000"/>
              </w:rPr>
            </w:pPr>
          </w:p>
        </w:tc>
        <w:tc>
          <w:tcPr>
            <w:tcW w:w="1327" w:type="dxa"/>
            <w:shd w:val="clear" w:color="auto" w:fill="auto"/>
            <w:vAlign w:val="bottom"/>
            <w:hideMark/>
          </w:tcPr>
          <w:p w:rsidR="00803DCD" w:rsidRPr="00851D5B" w:rsidRDefault="00803DCD" w:rsidP="00F54374">
            <w:pPr>
              <w:spacing w:after="0" w:line="240" w:lineRule="auto"/>
              <w:jc w:val="center"/>
              <w:rPr>
                <w:color w:val="000000"/>
              </w:rPr>
            </w:pPr>
            <w:r w:rsidRPr="00851D5B">
              <w:rPr>
                <w:color w:val="000000"/>
              </w:rPr>
              <w:t>Discount</w:t>
            </w:r>
          </w:p>
        </w:tc>
        <w:tc>
          <w:tcPr>
            <w:tcW w:w="1418" w:type="dxa"/>
            <w:shd w:val="clear" w:color="auto" w:fill="auto"/>
            <w:vAlign w:val="bottom"/>
            <w:hideMark/>
          </w:tcPr>
          <w:p w:rsidR="00803DCD" w:rsidRPr="00851D5B" w:rsidRDefault="00803DCD" w:rsidP="00F54374">
            <w:pPr>
              <w:spacing w:after="0" w:line="240" w:lineRule="auto"/>
              <w:jc w:val="center"/>
              <w:rPr>
                <w:color w:val="000000"/>
              </w:rPr>
            </w:pPr>
            <w:r w:rsidRPr="00851D5B">
              <w:rPr>
                <w:color w:val="000000"/>
              </w:rPr>
              <w:t>Small Grocery</w:t>
            </w:r>
          </w:p>
        </w:tc>
        <w:tc>
          <w:tcPr>
            <w:tcW w:w="1417" w:type="dxa"/>
            <w:gridSpan w:val="2"/>
            <w:shd w:val="clear" w:color="auto" w:fill="auto"/>
            <w:vAlign w:val="bottom"/>
            <w:hideMark/>
          </w:tcPr>
          <w:p w:rsidR="00803DCD" w:rsidRPr="00851D5B" w:rsidRDefault="00803DCD" w:rsidP="00F54374">
            <w:pPr>
              <w:spacing w:after="0" w:line="240" w:lineRule="auto"/>
              <w:jc w:val="center"/>
              <w:rPr>
                <w:color w:val="000000"/>
              </w:rPr>
            </w:pPr>
            <w:r w:rsidRPr="00851D5B">
              <w:rPr>
                <w:color w:val="000000"/>
              </w:rPr>
              <w:t>Grocery-Chains</w:t>
            </w:r>
          </w:p>
        </w:tc>
        <w:tc>
          <w:tcPr>
            <w:tcW w:w="2228" w:type="dxa"/>
            <w:shd w:val="clear" w:color="auto" w:fill="auto"/>
            <w:vAlign w:val="bottom"/>
            <w:hideMark/>
          </w:tcPr>
          <w:p w:rsidR="00803DCD" w:rsidRPr="00851D5B" w:rsidRDefault="00F54374" w:rsidP="00F54374">
            <w:pPr>
              <w:spacing w:after="0" w:line="240" w:lineRule="auto"/>
              <w:jc w:val="center"/>
              <w:rPr>
                <w:color w:val="000000"/>
              </w:rPr>
            </w:pPr>
            <w:r>
              <w:rPr>
                <w:color w:val="000000"/>
              </w:rPr>
              <w:t xml:space="preserve">Weighted </w:t>
            </w:r>
            <w:r w:rsidR="00803DCD" w:rsidRPr="00851D5B">
              <w:rPr>
                <w:color w:val="000000"/>
              </w:rPr>
              <w:t>by 2010 shipments</w:t>
            </w:r>
          </w:p>
        </w:tc>
      </w:tr>
      <w:tr w:rsidR="00803DCD" w:rsidRPr="00851D5B" w:rsidTr="00F54374">
        <w:trPr>
          <w:trHeight w:val="412"/>
        </w:trPr>
        <w:tc>
          <w:tcPr>
            <w:tcW w:w="1992"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High</w:t>
            </w:r>
          </w:p>
        </w:tc>
        <w:tc>
          <w:tcPr>
            <w:tcW w:w="1327"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0.9</w:t>
            </w:r>
          </w:p>
        </w:tc>
        <w:tc>
          <w:tcPr>
            <w:tcW w:w="1418"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0.9</w:t>
            </w:r>
          </w:p>
        </w:tc>
        <w:tc>
          <w:tcPr>
            <w:tcW w:w="1417" w:type="dxa"/>
            <w:gridSpan w:val="2"/>
            <w:shd w:val="clear" w:color="auto" w:fill="auto"/>
            <w:noWrap/>
            <w:hideMark/>
          </w:tcPr>
          <w:p w:rsidR="00803DCD" w:rsidRPr="00851D5B" w:rsidRDefault="00803DCD" w:rsidP="00F54374">
            <w:pPr>
              <w:spacing w:after="0" w:line="240" w:lineRule="auto"/>
              <w:jc w:val="center"/>
              <w:rPr>
                <w:color w:val="000000"/>
              </w:rPr>
            </w:pPr>
            <w:r w:rsidRPr="00851D5B">
              <w:rPr>
                <w:color w:val="000000"/>
              </w:rPr>
              <w:t>0.33</w:t>
            </w:r>
          </w:p>
        </w:tc>
        <w:tc>
          <w:tcPr>
            <w:tcW w:w="2228"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0.57</w:t>
            </w:r>
          </w:p>
        </w:tc>
      </w:tr>
      <w:tr w:rsidR="00803DCD" w:rsidRPr="00851D5B" w:rsidTr="00F54374">
        <w:trPr>
          <w:trHeight w:val="430"/>
        </w:trPr>
        <w:tc>
          <w:tcPr>
            <w:tcW w:w="1992"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Medium</w:t>
            </w:r>
          </w:p>
        </w:tc>
        <w:tc>
          <w:tcPr>
            <w:tcW w:w="1327"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0.8</w:t>
            </w:r>
          </w:p>
        </w:tc>
        <w:tc>
          <w:tcPr>
            <w:tcW w:w="1418"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0.7</w:t>
            </w:r>
          </w:p>
        </w:tc>
        <w:tc>
          <w:tcPr>
            <w:tcW w:w="1417" w:type="dxa"/>
            <w:gridSpan w:val="2"/>
            <w:shd w:val="clear" w:color="auto" w:fill="auto"/>
            <w:noWrap/>
            <w:hideMark/>
          </w:tcPr>
          <w:p w:rsidR="00803DCD" w:rsidRPr="00851D5B" w:rsidRDefault="00803DCD" w:rsidP="00F54374">
            <w:pPr>
              <w:spacing w:after="0" w:line="240" w:lineRule="auto"/>
              <w:jc w:val="center"/>
              <w:rPr>
                <w:color w:val="000000"/>
              </w:rPr>
            </w:pPr>
            <w:r w:rsidRPr="00851D5B">
              <w:rPr>
                <w:color w:val="000000"/>
              </w:rPr>
              <w:t>0.33</w:t>
            </w:r>
          </w:p>
        </w:tc>
        <w:tc>
          <w:tcPr>
            <w:tcW w:w="2228"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0.50</w:t>
            </w:r>
          </w:p>
        </w:tc>
      </w:tr>
      <w:tr w:rsidR="00803DCD" w:rsidRPr="00851D5B" w:rsidTr="00F54374">
        <w:trPr>
          <w:trHeight w:val="430"/>
        </w:trPr>
        <w:tc>
          <w:tcPr>
            <w:tcW w:w="1992" w:type="dxa"/>
            <w:shd w:val="clear" w:color="auto" w:fill="auto"/>
            <w:noWrap/>
            <w:hideMark/>
          </w:tcPr>
          <w:p w:rsidR="00803DCD" w:rsidRPr="00851D5B" w:rsidRDefault="00860BBF" w:rsidP="00F54374">
            <w:pPr>
              <w:spacing w:after="0" w:line="240" w:lineRule="auto"/>
              <w:jc w:val="center"/>
              <w:rPr>
                <w:color w:val="000000"/>
              </w:rPr>
            </w:pPr>
            <w:r w:rsidRPr="00851D5B">
              <w:rPr>
                <w:color w:val="000000"/>
              </w:rPr>
              <w:t>Low</w:t>
            </w:r>
          </w:p>
        </w:tc>
        <w:tc>
          <w:tcPr>
            <w:tcW w:w="1327"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0.6</w:t>
            </w:r>
          </w:p>
        </w:tc>
        <w:tc>
          <w:tcPr>
            <w:tcW w:w="1418" w:type="dxa"/>
            <w:shd w:val="clear" w:color="auto" w:fill="auto"/>
            <w:noWrap/>
            <w:hideMark/>
          </w:tcPr>
          <w:p w:rsidR="00803DCD" w:rsidRPr="00851D5B" w:rsidRDefault="00803DCD" w:rsidP="00F54374">
            <w:pPr>
              <w:spacing w:after="0" w:line="240" w:lineRule="auto"/>
              <w:jc w:val="center"/>
              <w:rPr>
                <w:color w:val="000000"/>
              </w:rPr>
            </w:pPr>
            <w:r w:rsidRPr="00851D5B">
              <w:rPr>
                <w:color w:val="000000"/>
              </w:rPr>
              <w:t>0.6</w:t>
            </w:r>
          </w:p>
        </w:tc>
        <w:tc>
          <w:tcPr>
            <w:tcW w:w="1417" w:type="dxa"/>
            <w:gridSpan w:val="2"/>
            <w:shd w:val="clear" w:color="auto" w:fill="auto"/>
            <w:noWrap/>
            <w:hideMark/>
          </w:tcPr>
          <w:p w:rsidR="00BF6E94" w:rsidRPr="00851D5B" w:rsidRDefault="00803DCD" w:rsidP="00F54374">
            <w:pPr>
              <w:spacing w:after="0" w:line="240" w:lineRule="auto"/>
              <w:jc w:val="center"/>
              <w:rPr>
                <w:color w:val="000000"/>
              </w:rPr>
            </w:pPr>
            <w:r w:rsidRPr="00851D5B">
              <w:rPr>
                <w:color w:val="000000"/>
              </w:rPr>
              <w:t>0.33</w:t>
            </w:r>
          </w:p>
        </w:tc>
        <w:tc>
          <w:tcPr>
            <w:tcW w:w="2228" w:type="dxa"/>
            <w:shd w:val="clear" w:color="auto" w:fill="auto"/>
            <w:noWrap/>
            <w:hideMark/>
          </w:tcPr>
          <w:p w:rsidR="00BF6E94" w:rsidRPr="00851D5B" w:rsidRDefault="00803DCD" w:rsidP="00F54374">
            <w:pPr>
              <w:spacing w:after="0" w:line="240" w:lineRule="auto"/>
              <w:jc w:val="center"/>
              <w:rPr>
                <w:color w:val="000000"/>
              </w:rPr>
            </w:pPr>
            <w:r w:rsidRPr="00851D5B">
              <w:rPr>
                <w:color w:val="000000"/>
              </w:rPr>
              <w:t>0.45</w:t>
            </w:r>
          </w:p>
        </w:tc>
      </w:tr>
      <w:tr w:rsidR="00860BBF" w:rsidRPr="00851D5B" w:rsidTr="00F54374">
        <w:trPr>
          <w:trHeight w:val="73"/>
        </w:trPr>
        <w:tc>
          <w:tcPr>
            <w:tcW w:w="1992" w:type="dxa"/>
            <w:shd w:val="clear" w:color="auto" w:fill="auto"/>
            <w:noWrap/>
            <w:hideMark/>
          </w:tcPr>
          <w:p w:rsidR="00860BBF" w:rsidRPr="00851D5B" w:rsidRDefault="00851D5B" w:rsidP="00F54374">
            <w:pPr>
              <w:spacing w:after="0" w:line="240" w:lineRule="auto"/>
              <w:jc w:val="center"/>
              <w:rPr>
                <w:color w:val="000000"/>
              </w:rPr>
            </w:pPr>
            <w:r>
              <w:rPr>
                <w:color w:val="000000"/>
              </w:rPr>
              <w:t xml:space="preserve">Final Recommended </w:t>
            </w:r>
            <w:r w:rsidR="00860BBF" w:rsidRPr="00851D5B">
              <w:rPr>
                <w:color w:val="000000"/>
              </w:rPr>
              <w:t>Value</w:t>
            </w:r>
          </w:p>
        </w:tc>
        <w:tc>
          <w:tcPr>
            <w:tcW w:w="1327" w:type="dxa"/>
            <w:shd w:val="clear" w:color="auto" w:fill="auto"/>
            <w:noWrap/>
            <w:hideMark/>
          </w:tcPr>
          <w:p w:rsidR="00860BBF" w:rsidRPr="00851D5B" w:rsidRDefault="00860BBF" w:rsidP="00F54374">
            <w:pPr>
              <w:spacing w:after="0" w:line="240" w:lineRule="auto"/>
              <w:jc w:val="center"/>
              <w:rPr>
                <w:color w:val="000000"/>
              </w:rPr>
            </w:pPr>
          </w:p>
        </w:tc>
        <w:tc>
          <w:tcPr>
            <w:tcW w:w="1418" w:type="dxa"/>
            <w:shd w:val="clear" w:color="auto" w:fill="auto"/>
            <w:noWrap/>
            <w:hideMark/>
          </w:tcPr>
          <w:p w:rsidR="00860BBF" w:rsidRPr="00851D5B" w:rsidRDefault="00860BBF" w:rsidP="00F54374">
            <w:pPr>
              <w:spacing w:after="0" w:line="240" w:lineRule="auto"/>
              <w:jc w:val="center"/>
              <w:rPr>
                <w:color w:val="000000"/>
              </w:rPr>
            </w:pPr>
          </w:p>
        </w:tc>
        <w:tc>
          <w:tcPr>
            <w:tcW w:w="1417" w:type="dxa"/>
            <w:gridSpan w:val="2"/>
            <w:shd w:val="clear" w:color="auto" w:fill="auto"/>
            <w:noWrap/>
            <w:hideMark/>
          </w:tcPr>
          <w:p w:rsidR="00860BBF" w:rsidRPr="00851D5B" w:rsidRDefault="00860BBF" w:rsidP="00F54374">
            <w:pPr>
              <w:spacing w:after="0" w:line="240" w:lineRule="auto"/>
              <w:jc w:val="center"/>
              <w:rPr>
                <w:color w:val="000000"/>
              </w:rPr>
            </w:pPr>
          </w:p>
        </w:tc>
        <w:tc>
          <w:tcPr>
            <w:tcW w:w="2228" w:type="dxa"/>
            <w:shd w:val="clear" w:color="auto" w:fill="auto"/>
            <w:noWrap/>
            <w:hideMark/>
          </w:tcPr>
          <w:p w:rsidR="00860BBF" w:rsidRPr="00851D5B" w:rsidRDefault="00860BBF" w:rsidP="00F54374">
            <w:pPr>
              <w:spacing w:after="0" w:line="240" w:lineRule="auto"/>
              <w:jc w:val="center"/>
              <w:rPr>
                <w:color w:val="000000"/>
              </w:rPr>
            </w:pPr>
            <w:r w:rsidRPr="00851D5B">
              <w:rPr>
                <w:color w:val="000000"/>
              </w:rPr>
              <w:t>0.54</w:t>
            </w:r>
          </w:p>
        </w:tc>
      </w:tr>
    </w:tbl>
    <w:p w:rsidR="00803DCD" w:rsidRDefault="00803DCD" w:rsidP="009D3840"/>
    <w:p w:rsidR="00662148" w:rsidRDefault="00686182" w:rsidP="009D3840">
      <w:r>
        <w:t xml:space="preserve">The DEER team </w:t>
      </w:r>
      <w:r w:rsidR="001A204F">
        <w:t xml:space="preserve">recommended that the 2011 DEER update only include a program weighted NTGR because of concerns that these channel specific NTGR estimates are likely to change over time as prices and market conditions change. </w:t>
      </w:r>
      <w:r w:rsidR="001D595B">
        <w:t>The DEER management team reviewed these results and the supporting evidence used to derive the program weighted NTGR</w:t>
      </w:r>
      <w:r w:rsidR="00B8720B">
        <w:t xml:space="preserve"> estimates for these sales c</w:t>
      </w:r>
      <w:r w:rsidR="00662148">
        <w:t xml:space="preserve">hannels. </w:t>
      </w:r>
      <w:r w:rsidR="00B8720B">
        <w:t xml:space="preserve"> </w:t>
      </w:r>
      <w:r w:rsidR="00662148">
        <w:t xml:space="preserve">  In the final analysis the DEER team</w:t>
      </w:r>
      <w:r w:rsidR="00B8720B">
        <w:t xml:space="preserve"> </w:t>
      </w:r>
      <w:r w:rsidR="001D595B">
        <w:t>decided there was too much uncertainty in the</w:t>
      </w:r>
      <w:r w:rsidR="00B8720B">
        <w:t xml:space="preserve"> NTGR estimates developed for</w:t>
      </w:r>
      <w:r w:rsidR="001D595B">
        <w:t xml:space="preserve"> this table</w:t>
      </w:r>
      <w:r w:rsidR="00B8720B">
        <w:t xml:space="preserve"> and in any event there were based on channel shipment weights that are likely to change in the future</w:t>
      </w:r>
      <w:r w:rsidR="001D595B">
        <w:t xml:space="preserve">. </w:t>
      </w:r>
      <w:r w:rsidR="00662148">
        <w:t>The DEER management concluded that any overall NTGR value within this range could be supported by the available data and evaluation</w:t>
      </w:r>
      <w:r w:rsidR="006D6EF7">
        <w:t xml:space="preserve"> evidence</w:t>
      </w:r>
    </w:p>
    <w:p w:rsidR="00803DCD" w:rsidRDefault="001D595B" w:rsidP="009D3840">
      <w:r>
        <w:t>As a result</w:t>
      </w:r>
      <w:r w:rsidR="00662148">
        <w:t xml:space="preserve"> of this sensitivity analysis and consideration of a variety of policy concerns</w:t>
      </w:r>
      <w:r>
        <w:t xml:space="preserve">, the DEER </w:t>
      </w:r>
      <w:r w:rsidR="0000336D">
        <w:t xml:space="preserve">management </w:t>
      </w:r>
      <w:r>
        <w:t xml:space="preserve">team </w:t>
      </w:r>
      <w:r w:rsidR="00662148">
        <w:t>decided to recommend</w:t>
      </w:r>
      <w:r>
        <w:t xml:space="preserve"> using the original program level NTGR of 0.54 produced in the 2006-08 study</w:t>
      </w:r>
      <w:r w:rsidR="00B8720B">
        <w:t xml:space="preserve"> for the 2011 update, </w:t>
      </w:r>
      <w:r w:rsidR="0000336D">
        <w:t xml:space="preserve">This represents </w:t>
      </w:r>
      <w:r w:rsidR="00B8720B">
        <w:t>a reduction of 10% relative to the current NTGR value of 0.</w:t>
      </w:r>
      <w:r w:rsidR="0000336D">
        <w:t xml:space="preserve">60 contained in the current DEER data base but falls within the range of uncertainty identified by the DEER team. </w:t>
      </w:r>
      <w:r w:rsidR="00B8720B">
        <w:t xml:space="preserve"> </w:t>
      </w:r>
      <w:r w:rsidR="0000336D">
        <w:t>The NTGR of 0.54 was estimated across all types of CFLs, both basic spiral CFL and specialty CFLs and as such would be applied to all upstream programs promoting all types of residential CFL’s</w:t>
      </w:r>
    </w:p>
    <w:p w:rsidR="00607C22" w:rsidRDefault="00607C22" w:rsidP="00A675D3">
      <w:pPr>
        <w:pStyle w:val="Heading2"/>
      </w:pPr>
      <w:r>
        <w:t>Factors Leading to Changes in CFL NTGR Estimates Over Time</w:t>
      </w:r>
    </w:p>
    <w:p w:rsidR="008D00AC" w:rsidRDefault="008D00AC" w:rsidP="008D00AC">
      <w:r>
        <w:t xml:space="preserve">There are numerous factors leading to changes in CFL NTGR estimates over time. </w:t>
      </w:r>
      <w:r w:rsidR="002D2B8C">
        <w:t xml:space="preserve"> </w:t>
      </w:r>
      <w:r>
        <w:t>These include the following</w:t>
      </w:r>
      <w:r w:rsidR="002D2B8C">
        <w:t xml:space="preserve"> listed below.</w:t>
      </w:r>
    </w:p>
    <w:p w:rsidR="007B2479" w:rsidRPr="002D2B8C" w:rsidRDefault="00603253" w:rsidP="002D2B8C">
      <w:pPr>
        <w:pStyle w:val="ListParagraph"/>
        <w:numPr>
          <w:ilvl w:val="0"/>
          <w:numId w:val="25"/>
        </w:numPr>
        <w:rPr>
          <w:b/>
        </w:rPr>
      </w:pPr>
      <w:r w:rsidRPr="002D2B8C">
        <w:rPr>
          <w:rFonts w:ascii="Arial" w:hAnsi="Arial" w:cs="Arial"/>
          <w:b/>
          <w:i/>
        </w:rPr>
        <w:t xml:space="preserve">Channel </w:t>
      </w:r>
      <w:r w:rsidR="002D2B8C">
        <w:rPr>
          <w:rFonts w:ascii="Arial" w:hAnsi="Arial" w:cs="Arial"/>
          <w:b/>
          <w:i/>
        </w:rPr>
        <w:t>S</w:t>
      </w:r>
      <w:r w:rsidRPr="002D2B8C">
        <w:rPr>
          <w:rFonts w:ascii="Arial" w:hAnsi="Arial" w:cs="Arial"/>
          <w:b/>
          <w:i/>
        </w:rPr>
        <w:t>hift</w:t>
      </w:r>
      <w:r w:rsidR="002D2B8C">
        <w:rPr>
          <w:i/>
        </w:rPr>
        <w:t>.</w:t>
      </w:r>
      <w:r w:rsidR="008D00AC" w:rsidRPr="002D2B8C">
        <w:rPr>
          <w:b/>
        </w:rPr>
        <w:t xml:space="preserve"> </w:t>
      </w:r>
      <w:r w:rsidR="002D2B8C">
        <w:rPr>
          <w:b/>
        </w:rPr>
        <w:t xml:space="preserve"> </w:t>
      </w:r>
      <w:r w:rsidR="008D00AC" w:rsidRPr="00F761F7">
        <w:t xml:space="preserve">Channel shift refers to sales through one </w:t>
      </w:r>
      <w:r w:rsidR="008D00AC">
        <w:t xml:space="preserve">retail </w:t>
      </w:r>
      <w:r w:rsidR="008D00AC" w:rsidRPr="00F761F7">
        <w:t xml:space="preserve">channel that, </w:t>
      </w:r>
      <w:r w:rsidR="008D00AC">
        <w:t xml:space="preserve">in the absence of an energy-efficiency program, </w:t>
      </w:r>
      <w:r w:rsidR="008D00AC" w:rsidRPr="00F761F7">
        <w:t xml:space="preserve">would have occurred through another channel. </w:t>
      </w:r>
      <w:r w:rsidR="002D2B8C">
        <w:t xml:space="preserve"> </w:t>
      </w:r>
      <w:r w:rsidR="00495689">
        <w:lastRenderedPageBreak/>
        <w:t xml:space="preserve">To meet other program objectives – such as trying to increase CFLs sales in “hard-to-reach” market sectors – lighting rebate programs may promote CFL sales in certain retail channels (e.g., discount, ethnic grocery) over others. </w:t>
      </w:r>
      <w:r w:rsidR="002D2B8C">
        <w:t xml:space="preserve"> </w:t>
      </w:r>
      <w:r w:rsidR="00495689">
        <w:t>However, some observers have wondered whether such policies might be simply shifting some CFL sales from traditional lighting channels such as large home improvement or mass merchandise to the</w:t>
      </w:r>
      <w:r w:rsidR="00C87830">
        <w:t xml:space="preserve">se presumably more targeted channels. </w:t>
      </w:r>
      <w:r w:rsidR="00495689">
        <w:t xml:space="preserve"> </w:t>
      </w:r>
    </w:p>
    <w:p w:rsidR="008D00AC" w:rsidRPr="002D2B8C" w:rsidRDefault="002D2B8C" w:rsidP="002D2B8C">
      <w:pPr>
        <w:pStyle w:val="ListParagraph"/>
        <w:numPr>
          <w:ilvl w:val="0"/>
          <w:numId w:val="25"/>
        </w:numPr>
        <w:rPr>
          <w:b/>
        </w:rPr>
      </w:pPr>
      <w:r>
        <w:rPr>
          <w:rFonts w:ascii="Arial" w:hAnsi="Arial" w:cs="Arial"/>
          <w:b/>
          <w:i/>
        </w:rPr>
        <w:t>Economic Recession/R</w:t>
      </w:r>
      <w:r w:rsidR="00603253" w:rsidRPr="002D2B8C">
        <w:rPr>
          <w:rFonts w:ascii="Arial" w:hAnsi="Arial" w:cs="Arial"/>
          <w:b/>
          <w:i/>
        </w:rPr>
        <w:t>ecovery.</w:t>
      </w:r>
      <w:r w:rsidR="008D00AC" w:rsidRPr="002D2B8C">
        <w:rPr>
          <w:b/>
        </w:rPr>
        <w:t xml:space="preserve"> </w:t>
      </w:r>
      <w:r>
        <w:rPr>
          <w:b/>
        </w:rPr>
        <w:t xml:space="preserve"> </w:t>
      </w:r>
      <w:r w:rsidR="008D00AC">
        <w:t xml:space="preserve">During 2009, many retailers saw CFL sales decline in comparison to sales during 2008, with some recovery in overall sales during 2010 and 2011. </w:t>
      </w:r>
      <w:r>
        <w:t xml:space="preserve"> </w:t>
      </w:r>
      <w:r w:rsidR="008D00AC">
        <w:t xml:space="preserve">Most suppliers attribute this decline and subsequent recovery to changes in the economy. </w:t>
      </w:r>
      <w:r>
        <w:t xml:space="preserve"> </w:t>
      </w:r>
      <w:r w:rsidR="008D00AC">
        <w:t>As the general economic climate changes, so too do consumer spending habits – and likely consumer willingness or ability to pay the incremental cost associated with CFLs and other energy-efficient lamps.</w:t>
      </w:r>
    </w:p>
    <w:p w:rsidR="008D00AC" w:rsidRDefault="00603253" w:rsidP="002D2B8C">
      <w:pPr>
        <w:pStyle w:val="ListParagraph"/>
        <w:numPr>
          <w:ilvl w:val="0"/>
          <w:numId w:val="25"/>
        </w:numPr>
      </w:pPr>
      <w:r w:rsidRPr="002D2B8C">
        <w:rPr>
          <w:rFonts w:ascii="Arial" w:hAnsi="Arial" w:cs="Arial"/>
          <w:b/>
          <w:i/>
        </w:rPr>
        <w:t xml:space="preserve">Unpredictability of </w:t>
      </w:r>
      <w:r w:rsidR="002D2B8C" w:rsidRPr="002D2B8C">
        <w:rPr>
          <w:rFonts w:ascii="Arial" w:hAnsi="Arial" w:cs="Arial"/>
          <w:b/>
          <w:i/>
        </w:rPr>
        <w:t xml:space="preserve">Lighting Market Reaction </w:t>
      </w:r>
      <w:r w:rsidR="002D2B8C">
        <w:rPr>
          <w:rFonts w:ascii="Arial" w:hAnsi="Arial" w:cs="Arial"/>
          <w:b/>
          <w:i/>
        </w:rPr>
        <w:t>i</w:t>
      </w:r>
      <w:r w:rsidR="002D2B8C" w:rsidRPr="002D2B8C">
        <w:rPr>
          <w:rFonts w:ascii="Arial" w:hAnsi="Arial" w:cs="Arial"/>
          <w:b/>
          <w:i/>
        </w:rPr>
        <w:t xml:space="preserve">n Response </w:t>
      </w:r>
      <w:r w:rsidR="002D2B8C">
        <w:rPr>
          <w:rFonts w:ascii="Arial" w:hAnsi="Arial" w:cs="Arial"/>
          <w:b/>
          <w:i/>
        </w:rPr>
        <w:t>t</w:t>
      </w:r>
      <w:r w:rsidR="002D2B8C" w:rsidRPr="002D2B8C">
        <w:rPr>
          <w:rFonts w:ascii="Arial" w:hAnsi="Arial" w:cs="Arial"/>
          <w:b/>
          <w:i/>
        </w:rPr>
        <w:t>o New Lighting Standards</w:t>
      </w:r>
      <w:r w:rsidR="002D2B8C">
        <w:rPr>
          <w:rFonts w:ascii="Arial" w:hAnsi="Arial" w:cs="Arial"/>
          <w:b/>
          <w:i/>
        </w:rPr>
        <w:t>.</w:t>
      </w:r>
      <w:r w:rsidR="008D00AC" w:rsidRPr="002D2B8C">
        <w:rPr>
          <w:rFonts w:ascii="Arial" w:hAnsi="Arial" w:cs="Arial"/>
          <w:b/>
          <w:i/>
        </w:rPr>
        <w:t xml:space="preserve"> </w:t>
      </w:r>
      <w:r w:rsidR="002D2B8C">
        <w:rPr>
          <w:rFonts w:ascii="Arial" w:hAnsi="Arial" w:cs="Arial"/>
          <w:b/>
          <w:i/>
        </w:rPr>
        <w:t xml:space="preserve"> </w:t>
      </w:r>
      <w:r w:rsidR="008D00AC" w:rsidRPr="002D2B8C">
        <w:t>The</w:t>
      </w:r>
      <w:r w:rsidR="008D00AC" w:rsidRPr="008073F8">
        <w:t xml:space="preserve"> U.S. Energy Independence and Security Act of 2007 (EISA) establishes increased energy efficiency standards for general service lamps</w:t>
      </w:r>
      <w:r w:rsidR="008D00AC">
        <w:t xml:space="preserve"> and will </w:t>
      </w:r>
      <w:r w:rsidR="008D00AC" w:rsidRPr="008073F8">
        <w:t xml:space="preserve">effectively phase out traditional medium screw-base incandescent lamps over time, starting with the standard 100-Watt lamp on January 1, 2012. </w:t>
      </w:r>
      <w:r w:rsidR="002D2B8C">
        <w:t xml:space="preserve"> </w:t>
      </w:r>
      <w:r w:rsidR="008D00AC" w:rsidRPr="008073F8">
        <w:t xml:space="preserve">Through California Assembly Bill 1109 (AB1109), the Lighting Efficiency &amp; Toxics Reduction Act of 2007, the state of California has begun implementing the increased efficiency standards of EISA a year ahead of the rest of the country. </w:t>
      </w:r>
      <w:r w:rsidR="002D2B8C">
        <w:t xml:space="preserve"> </w:t>
      </w:r>
      <w:r w:rsidR="008D00AC">
        <w:t xml:space="preserve">Neither set of standards </w:t>
      </w:r>
      <w:r w:rsidR="008D00AC" w:rsidRPr="008073F8">
        <w:t>prohibit</w:t>
      </w:r>
      <w:r w:rsidR="008D00AC">
        <w:t>s</w:t>
      </w:r>
      <w:r w:rsidR="008D00AC" w:rsidRPr="008073F8">
        <w:t xml:space="preserve"> retailers from selling through their existing stock of these products – so</w:t>
      </w:r>
      <w:r w:rsidR="008D00AC">
        <w:t xml:space="preserve"> conceivably,</w:t>
      </w:r>
      <w:r w:rsidR="008D00AC" w:rsidRPr="008073F8">
        <w:t xml:space="preserve"> the 100-Watt incandescent bulb may be available to Californians after January of 2011.</w:t>
      </w:r>
      <w:r w:rsidR="008D00AC">
        <w:t xml:space="preserve"> </w:t>
      </w:r>
      <w:r w:rsidR="002D2B8C">
        <w:t xml:space="preserve"> </w:t>
      </w:r>
      <w:r w:rsidR="008D00AC">
        <w:t xml:space="preserve">Because these changes have just begun, it is difficult to assess their effects on the lighting market in general and their possible resultant effects on NTGR. </w:t>
      </w:r>
    </w:p>
    <w:p w:rsidR="008D00AC" w:rsidRPr="002D2B8C" w:rsidRDefault="00603253" w:rsidP="002D2B8C">
      <w:pPr>
        <w:pStyle w:val="ListParagraph"/>
        <w:numPr>
          <w:ilvl w:val="0"/>
          <w:numId w:val="25"/>
        </w:numPr>
        <w:rPr>
          <w:b/>
        </w:rPr>
      </w:pPr>
      <w:r w:rsidRPr="002D2B8C">
        <w:rPr>
          <w:rFonts w:ascii="Arial" w:hAnsi="Arial" w:cs="Arial"/>
          <w:b/>
          <w:i/>
        </w:rPr>
        <w:t xml:space="preserve">Increased </w:t>
      </w:r>
      <w:r w:rsidR="002D2B8C" w:rsidRPr="002D2B8C">
        <w:rPr>
          <w:rFonts w:ascii="Arial" w:hAnsi="Arial" w:cs="Arial"/>
          <w:b/>
          <w:i/>
        </w:rPr>
        <w:t xml:space="preserve">Presence </w:t>
      </w:r>
      <w:r w:rsidRPr="002D2B8C">
        <w:rPr>
          <w:rFonts w:ascii="Arial" w:hAnsi="Arial" w:cs="Arial"/>
          <w:b/>
          <w:i/>
        </w:rPr>
        <w:t xml:space="preserve">of </w:t>
      </w:r>
      <w:r w:rsidR="002D2B8C" w:rsidRPr="002D2B8C">
        <w:rPr>
          <w:rFonts w:ascii="Arial" w:hAnsi="Arial" w:cs="Arial"/>
          <w:b/>
          <w:i/>
        </w:rPr>
        <w:t>Halogen Lamps</w:t>
      </w:r>
      <w:r w:rsidR="008D00AC" w:rsidRPr="002D2B8C">
        <w:rPr>
          <w:b/>
        </w:rPr>
        <w:t>.</w:t>
      </w:r>
      <w:r w:rsidR="002D2B8C">
        <w:rPr>
          <w:b/>
        </w:rPr>
        <w:t xml:space="preserve"> </w:t>
      </w:r>
      <w:r w:rsidR="008D00AC" w:rsidRPr="002D2B8C">
        <w:rPr>
          <w:b/>
        </w:rPr>
        <w:t xml:space="preserve"> </w:t>
      </w:r>
      <w:r w:rsidR="008D00AC">
        <w:t xml:space="preserve">Attributable in part to EISA and AB1109, there is an increased presence of halogen lamps on the market. </w:t>
      </w:r>
      <w:r w:rsidR="002D2B8C">
        <w:t xml:space="preserve"> </w:t>
      </w:r>
      <w:r w:rsidR="008D00AC">
        <w:t xml:space="preserve">Each of country’s largest incandescent lamp manufacturers (GE, Philips, and Sylvania) released new EISA-compliant halogen products during 2010.  It is unclear how the presence of these products – which are markedly similar to standard incandescent lamps in appearance and price as compared to CFLs – will affect consumer choices in a post-EISA world. </w:t>
      </w:r>
    </w:p>
    <w:p w:rsidR="007003E9" w:rsidRPr="002D2B8C" w:rsidRDefault="00603253" w:rsidP="002D2B8C">
      <w:pPr>
        <w:pStyle w:val="ListParagraph"/>
        <w:numPr>
          <w:ilvl w:val="0"/>
          <w:numId w:val="25"/>
        </w:numPr>
        <w:rPr>
          <w:b/>
        </w:rPr>
      </w:pPr>
      <w:r w:rsidRPr="002D2B8C">
        <w:rPr>
          <w:rFonts w:ascii="Arial" w:hAnsi="Arial" w:cs="Arial"/>
          <w:b/>
          <w:i/>
        </w:rPr>
        <w:t xml:space="preserve">Commercialization of LED </w:t>
      </w:r>
      <w:r w:rsidR="002D2B8C" w:rsidRPr="002D2B8C">
        <w:rPr>
          <w:rFonts w:ascii="Arial" w:hAnsi="Arial" w:cs="Arial"/>
          <w:b/>
          <w:i/>
        </w:rPr>
        <w:t>Lamps</w:t>
      </w:r>
      <w:r w:rsidR="008C0FA7">
        <w:rPr>
          <w:rFonts w:ascii="Arial" w:hAnsi="Arial" w:cs="Arial"/>
          <w:b/>
          <w:i/>
        </w:rPr>
        <w:t xml:space="preserve">.  </w:t>
      </w:r>
      <w:r w:rsidR="008D00AC">
        <w:t xml:space="preserve">Again possibly attributable in part to EISA and AB1109, there is an increased presence of LED lamps in the marketplace. </w:t>
      </w:r>
      <w:r w:rsidR="002D2B8C">
        <w:t xml:space="preserve"> </w:t>
      </w:r>
      <w:r w:rsidR="008D00AC">
        <w:t>These products – as well as the EISA-compliant halogen products described above – may dilute consumer understanding of CFLs as “the energy-efficient alternative” to incandescent lamps, as both of these types become more familiar as energy-efficient alternatives themselves.</w:t>
      </w:r>
    </w:p>
    <w:p w:rsidR="008D00AC" w:rsidRPr="002D2B8C" w:rsidRDefault="007003E9" w:rsidP="002D2B8C">
      <w:pPr>
        <w:pStyle w:val="ListParagraph"/>
        <w:numPr>
          <w:ilvl w:val="0"/>
          <w:numId w:val="25"/>
        </w:numPr>
        <w:rPr>
          <w:b/>
        </w:rPr>
      </w:pPr>
      <w:r w:rsidRPr="002D2B8C">
        <w:rPr>
          <w:rFonts w:ascii="Arial" w:hAnsi="Arial" w:cs="Arial"/>
          <w:b/>
          <w:i/>
        </w:rPr>
        <w:t xml:space="preserve">Increased CFL </w:t>
      </w:r>
      <w:r w:rsidR="002D2B8C" w:rsidRPr="002D2B8C">
        <w:rPr>
          <w:rFonts w:ascii="Arial" w:hAnsi="Arial" w:cs="Arial"/>
          <w:b/>
          <w:i/>
        </w:rPr>
        <w:t xml:space="preserve">Penetration </w:t>
      </w:r>
      <w:r w:rsidRPr="002D2B8C">
        <w:rPr>
          <w:rFonts w:ascii="Arial" w:hAnsi="Arial" w:cs="Arial"/>
          <w:b/>
          <w:i/>
        </w:rPr>
        <w:t xml:space="preserve">of </w:t>
      </w:r>
      <w:r w:rsidR="002D2B8C" w:rsidRPr="002D2B8C">
        <w:rPr>
          <w:rFonts w:ascii="Arial" w:hAnsi="Arial" w:cs="Arial"/>
          <w:b/>
          <w:i/>
        </w:rPr>
        <w:t>Lighting Sockets</w:t>
      </w:r>
      <w:r w:rsidR="002D2B8C">
        <w:rPr>
          <w:rFonts w:ascii="Arial" w:hAnsi="Arial" w:cs="Arial"/>
          <w:b/>
          <w:i/>
        </w:rPr>
        <w:t xml:space="preserve">.  </w:t>
      </w:r>
      <w:r w:rsidR="007B2479">
        <w:t xml:space="preserve">CFL saturation among CA households has increased </w:t>
      </w:r>
      <w:r w:rsidR="00A23D03">
        <w:t xml:space="preserve">from less than 1% in 2000 to more than 20% from by 2009. </w:t>
      </w:r>
      <w:r w:rsidR="002D2B8C">
        <w:t xml:space="preserve"> </w:t>
      </w:r>
      <w:r w:rsidR="00897B83">
        <w:t xml:space="preserve">This increasing saturation </w:t>
      </w:r>
      <w:r w:rsidR="002D2B8C">
        <w:t>of California lighting sockets –</w:t>
      </w:r>
      <w:r w:rsidR="00897B83">
        <w:t xml:space="preserve"> along with other related factors </w:t>
      </w:r>
      <w:r w:rsidR="00897B83">
        <w:lastRenderedPageBreak/>
        <w:t>such as the long lifetime of the typical CFL and consumer concerns about the suitability of CFLs for lighting sockets that require quick start-up or dimming capability – could dampen demand for CFL sales going forward.</w:t>
      </w:r>
    </w:p>
    <w:p w:rsidR="008D00AC" w:rsidRPr="002D2B8C" w:rsidRDefault="00603253" w:rsidP="002D2B8C">
      <w:pPr>
        <w:pStyle w:val="ListParagraph"/>
        <w:numPr>
          <w:ilvl w:val="0"/>
          <w:numId w:val="25"/>
        </w:numPr>
        <w:rPr>
          <w:b/>
        </w:rPr>
      </w:pPr>
      <w:r w:rsidRPr="002D2B8C">
        <w:rPr>
          <w:rFonts w:ascii="Arial" w:hAnsi="Arial" w:cs="Arial"/>
          <w:b/>
          <w:i/>
        </w:rPr>
        <w:t xml:space="preserve">California </w:t>
      </w:r>
      <w:r w:rsidR="002D2B8C" w:rsidRPr="002D2B8C">
        <w:rPr>
          <w:rFonts w:ascii="Arial" w:hAnsi="Arial" w:cs="Arial"/>
          <w:b/>
          <w:i/>
        </w:rPr>
        <w:t xml:space="preserve">Policy </w:t>
      </w:r>
      <w:r w:rsidRPr="002D2B8C">
        <w:rPr>
          <w:rFonts w:ascii="Arial" w:hAnsi="Arial" w:cs="Arial"/>
          <w:b/>
          <w:i/>
        </w:rPr>
        <w:t xml:space="preserve">and </w:t>
      </w:r>
      <w:r w:rsidR="002D2B8C" w:rsidRPr="002D2B8C">
        <w:rPr>
          <w:rFonts w:ascii="Arial" w:hAnsi="Arial" w:cs="Arial"/>
          <w:b/>
          <w:i/>
        </w:rPr>
        <w:t xml:space="preserve">Related Changes </w:t>
      </w:r>
      <w:r w:rsidRPr="002D2B8C">
        <w:rPr>
          <w:rFonts w:ascii="Arial" w:hAnsi="Arial" w:cs="Arial"/>
          <w:b/>
          <w:i/>
        </w:rPr>
        <w:t>in IOU</w:t>
      </w:r>
      <w:r w:rsidR="002D2B8C" w:rsidRPr="002D2B8C">
        <w:rPr>
          <w:rFonts w:ascii="Arial" w:hAnsi="Arial" w:cs="Arial"/>
          <w:b/>
          <w:i/>
        </w:rPr>
        <w:t xml:space="preserve"> Policy</w:t>
      </w:r>
      <w:r w:rsidR="002D2B8C">
        <w:rPr>
          <w:rFonts w:ascii="Arial" w:hAnsi="Arial" w:cs="Arial"/>
          <w:b/>
          <w:i/>
        </w:rPr>
        <w:t xml:space="preserve">.  </w:t>
      </w:r>
      <w:r w:rsidR="008D00AC" w:rsidRPr="00C969C7">
        <w:t>The light</w:t>
      </w:r>
      <w:r w:rsidR="008D00AC">
        <w:t xml:space="preserve">ing chapter of California’s Long-Term Energy Efficiency Strategic Plan was adopted by the commission in late 2010. </w:t>
      </w:r>
      <w:r w:rsidR="002D2B8C">
        <w:t xml:space="preserve"> </w:t>
      </w:r>
      <w:r w:rsidR="008D00AC">
        <w:t xml:space="preserve">One of the key strategies in the Plan includes phasing out IOU incentives for CFLs. </w:t>
      </w:r>
      <w:r w:rsidR="002D2B8C">
        <w:t xml:space="preserve"> </w:t>
      </w:r>
      <w:r w:rsidR="008D00AC">
        <w:t xml:space="preserve">The Plan, in concert with declining NTGR and other factors, has already lead one IOU (SCE) to stop providing incentives for basic CFLs in late 2011. </w:t>
      </w:r>
      <w:r w:rsidR="002D2B8C">
        <w:t xml:space="preserve"> </w:t>
      </w:r>
      <w:r w:rsidR="008D00AC">
        <w:t>As the IOUs phase out these incentives, it is unclear whether/how the prices of these products will change.</w:t>
      </w:r>
    </w:p>
    <w:p w:rsidR="008D00AC" w:rsidRPr="002D2B8C" w:rsidRDefault="00603253" w:rsidP="002D2B8C">
      <w:pPr>
        <w:pStyle w:val="ListParagraph"/>
        <w:numPr>
          <w:ilvl w:val="0"/>
          <w:numId w:val="25"/>
        </w:numPr>
        <w:rPr>
          <w:b/>
        </w:rPr>
      </w:pPr>
      <w:r w:rsidRPr="002D2B8C">
        <w:rPr>
          <w:rFonts w:ascii="Arial" w:hAnsi="Arial" w:cs="Arial"/>
          <w:b/>
          <w:i/>
        </w:rPr>
        <w:t xml:space="preserve">Price of </w:t>
      </w:r>
      <w:r w:rsidR="002D2B8C" w:rsidRPr="002D2B8C">
        <w:rPr>
          <w:rFonts w:ascii="Arial" w:hAnsi="Arial" w:cs="Arial"/>
          <w:b/>
          <w:i/>
        </w:rPr>
        <w:t xml:space="preserve">Rare Earth Minerals </w:t>
      </w:r>
      <w:r w:rsidRPr="002D2B8C">
        <w:rPr>
          <w:rFonts w:ascii="Arial" w:hAnsi="Arial" w:cs="Arial"/>
          <w:b/>
          <w:i/>
        </w:rPr>
        <w:t xml:space="preserve">and </w:t>
      </w:r>
      <w:r w:rsidR="002D2B8C" w:rsidRPr="002D2B8C">
        <w:rPr>
          <w:rFonts w:ascii="Arial" w:hAnsi="Arial" w:cs="Arial"/>
          <w:b/>
          <w:i/>
        </w:rPr>
        <w:t>Other Raw Materials</w:t>
      </w:r>
      <w:r w:rsidR="002D2B8C">
        <w:rPr>
          <w:rFonts w:ascii="Arial" w:hAnsi="Arial" w:cs="Arial"/>
          <w:b/>
          <w:i/>
        </w:rPr>
        <w:t xml:space="preserve">.  </w:t>
      </w:r>
      <w:r w:rsidR="008D00AC">
        <w:t>Within the past year, China has taken steps to reduce pollution in the rare earth minerals mining and processing industries.</w:t>
      </w:r>
      <w:r w:rsidR="002D2B8C">
        <w:t xml:space="preserve"> </w:t>
      </w:r>
      <w:r w:rsidR="008D00AC">
        <w:t xml:space="preserve"> As a result, the country has dramatically reduced supply of these products on the international market. </w:t>
      </w:r>
      <w:r w:rsidR="002D2B8C">
        <w:t xml:space="preserve"> </w:t>
      </w:r>
      <w:r w:rsidR="008D00AC">
        <w:t xml:space="preserve">Because China produces the vast majority of </w:t>
      </w:r>
      <w:r w:rsidR="008D00AC" w:rsidRPr="00F761F7">
        <w:t xml:space="preserve">the world’s rare earth materials, </w:t>
      </w:r>
      <w:r w:rsidR="008D00AC">
        <w:t xml:space="preserve">the resultant shortage has caused prices for CFLs and other lamp types to surge. </w:t>
      </w:r>
      <w:r w:rsidR="002D2B8C">
        <w:t xml:space="preserve"> </w:t>
      </w:r>
      <w:r w:rsidR="008D00AC">
        <w:t>NEMA reports that the average fluorescent lamp price has increased by 37 percent during 2011,</w:t>
      </w:r>
      <w:r w:rsidR="008D00AC">
        <w:rPr>
          <w:rStyle w:val="FootnoteReference"/>
        </w:rPr>
        <w:footnoteReference w:id="10"/>
      </w:r>
      <w:r w:rsidR="008D00AC">
        <w:t xml:space="preserve"> and the price increases likely extend to LED lamps as well. </w:t>
      </w:r>
      <w:r w:rsidR="002D2B8C">
        <w:t xml:space="preserve"> </w:t>
      </w:r>
      <w:r w:rsidR="008D00AC">
        <w:t xml:space="preserve">These increased prices widen the incremental price gap between efficient lamp technologies and incandescent lamps, which has implications with regard to the level of the program discount’s influence on energy-efficient lamp purchases and other elements of NTG. </w:t>
      </w:r>
    </w:p>
    <w:p w:rsidR="00607C22" w:rsidRDefault="00A23D03" w:rsidP="00A675D3">
      <w:pPr>
        <w:pStyle w:val="Heading2"/>
      </w:pPr>
      <w:r>
        <w:t>A</w:t>
      </w:r>
      <w:r w:rsidR="00607C22">
        <w:t>pproach to Adjusting CFL NTGR Estimates Over Time</w:t>
      </w:r>
    </w:p>
    <w:p w:rsidR="00496090" w:rsidRPr="00EF05BE" w:rsidRDefault="00A23D03" w:rsidP="00A675D3">
      <w:r>
        <w:t>T</w:t>
      </w:r>
      <w:r w:rsidR="00E15962" w:rsidRPr="00EF05BE">
        <w:t xml:space="preserve">he </w:t>
      </w:r>
      <w:r>
        <w:t xml:space="preserve">planned </w:t>
      </w:r>
      <w:r w:rsidR="00E15962" w:rsidRPr="00EF05BE">
        <w:t>evaluation</w:t>
      </w:r>
      <w:r>
        <w:t xml:space="preserve"> and market studies of the 2010-2012 </w:t>
      </w:r>
      <w:r w:rsidR="00E15962" w:rsidRPr="00EF05BE">
        <w:t xml:space="preserve">of the California lighting programs have </w:t>
      </w:r>
      <w:r>
        <w:t xml:space="preserve">included </w:t>
      </w:r>
      <w:r w:rsidR="00E15962" w:rsidRPr="00EF05BE">
        <w:t xml:space="preserve">a number of approaches for adjusting the CFL NTGR estimates over time. </w:t>
      </w:r>
      <w:r w:rsidR="002D2B8C">
        <w:t xml:space="preserve"> </w:t>
      </w:r>
      <w:r w:rsidR="00E15962" w:rsidRPr="00EF05BE">
        <w:t xml:space="preserve">Most of this evaluation activity is being done under Work Order 28 </w:t>
      </w:r>
      <w:r w:rsidR="00EF05BE" w:rsidRPr="00EF05BE">
        <w:t>(</w:t>
      </w:r>
      <w:r w:rsidR="00E15962" w:rsidRPr="00EF05BE">
        <w:t xml:space="preserve">WO28): the </w:t>
      </w:r>
      <w:r w:rsidR="00E15962" w:rsidRPr="002D2B8C">
        <w:rPr>
          <w:i/>
        </w:rPr>
        <w:t>Upstream and Residential Downstream Lighting Impact Evaluation</w:t>
      </w:r>
      <w:r w:rsidR="00E15962" w:rsidRPr="00EF05BE">
        <w:t>.</w:t>
      </w:r>
      <w:r w:rsidR="00496090" w:rsidRPr="00EF05BE">
        <w:t xml:space="preserve"> </w:t>
      </w:r>
      <w:r w:rsidR="002D2B8C">
        <w:t xml:space="preserve"> </w:t>
      </w:r>
      <w:r w:rsidR="00496090" w:rsidRPr="00EF05BE">
        <w:t>The WO28 research team plans to produce a number of interim reports that will provide updated estimates of CFL NTGR</w:t>
      </w:r>
      <w:r>
        <w:t xml:space="preserve"> estimate</w:t>
      </w:r>
      <w:r w:rsidR="00496090" w:rsidRPr="00EF05BE">
        <w:t xml:space="preserve">s at regular intervals. </w:t>
      </w:r>
      <w:r w:rsidR="002D2B8C">
        <w:t xml:space="preserve"> </w:t>
      </w:r>
      <w:r w:rsidR="00496090" w:rsidRPr="00EF05BE">
        <w:t>The following is the schedule for the interim and final reports</w:t>
      </w:r>
      <w:r w:rsidR="002D2B8C">
        <w:t>.</w:t>
      </w:r>
    </w:p>
    <w:p w:rsidR="00496090" w:rsidRPr="00EF05BE" w:rsidRDefault="00496090" w:rsidP="00A675D3">
      <w:pPr>
        <w:pStyle w:val="ListParagraph"/>
        <w:numPr>
          <w:ilvl w:val="0"/>
          <w:numId w:val="23"/>
        </w:numPr>
      </w:pPr>
      <w:bookmarkStart w:id="8" w:name="OLE_LINK5"/>
      <w:r w:rsidRPr="00A675D3">
        <w:rPr>
          <w:i/>
        </w:rPr>
        <w:t>2010-2011 Interim Results Report</w:t>
      </w:r>
      <w:r w:rsidR="00EF05BE" w:rsidRPr="00A675D3">
        <w:rPr>
          <w:i/>
        </w:rPr>
        <w:t>:</w:t>
      </w:r>
      <w:r w:rsidRPr="00EF05BE">
        <w:t xml:space="preserve"> </w:t>
      </w:r>
      <w:r w:rsidR="002D2B8C">
        <w:t xml:space="preserve"> </w:t>
      </w:r>
      <w:r w:rsidRPr="00EF05BE">
        <w:t xml:space="preserve">This report will cover 2010 through Q2 2011 program activity. </w:t>
      </w:r>
      <w:r w:rsidR="002D2B8C">
        <w:t xml:space="preserve"> </w:t>
      </w:r>
      <w:r w:rsidRPr="00EF05BE">
        <w:t xml:space="preserve">The final version of this report is expected in mid-2012. </w:t>
      </w:r>
    </w:p>
    <w:p w:rsidR="00496090" w:rsidRPr="00EF05BE" w:rsidRDefault="00496090" w:rsidP="00A675D3">
      <w:pPr>
        <w:pStyle w:val="ListParagraph"/>
        <w:numPr>
          <w:ilvl w:val="0"/>
          <w:numId w:val="23"/>
        </w:numPr>
      </w:pPr>
      <w:r w:rsidRPr="00A675D3">
        <w:rPr>
          <w:i/>
        </w:rPr>
        <w:t>2010-2012 Interim Results Report</w:t>
      </w:r>
      <w:r w:rsidR="00EF05BE" w:rsidRPr="00A675D3">
        <w:rPr>
          <w:i/>
        </w:rPr>
        <w:t>:</w:t>
      </w:r>
      <w:r w:rsidRPr="00EF05BE">
        <w:t xml:space="preserve"> </w:t>
      </w:r>
      <w:r w:rsidR="002D2B8C">
        <w:t xml:space="preserve"> </w:t>
      </w:r>
      <w:r w:rsidRPr="00EF05BE">
        <w:t>This report will cover 2010 through Q2 2012 program activity.</w:t>
      </w:r>
      <w:r w:rsidR="002D2B8C">
        <w:t xml:space="preserve"> </w:t>
      </w:r>
      <w:r w:rsidRPr="00EF05BE">
        <w:t xml:space="preserve"> The final version of this report is expected in March 2013. </w:t>
      </w:r>
    </w:p>
    <w:p w:rsidR="00A675D3" w:rsidRDefault="00496090" w:rsidP="00A675D3">
      <w:pPr>
        <w:pStyle w:val="ListParagraph"/>
        <w:numPr>
          <w:ilvl w:val="0"/>
          <w:numId w:val="23"/>
        </w:numPr>
      </w:pPr>
      <w:r w:rsidRPr="00A675D3">
        <w:rPr>
          <w:i/>
        </w:rPr>
        <w:t>2010-2012 Final Results Report</w:t>
      </w:r>
      <w:r w:rsidR="00EF05BE" w:rsidRPr="00A675D3">
        <w:rPr>
          <w:i/>
        </w:rPr>
        <w:t>:</w:t>
      </w:r>
      <w:r w:rsidRPr="00EF05BE">
        <w:t xml:space="preserve"> </w:t>
      </w:r>
      <w:r w:rsidR="002D2B8C">
        <w:t xml:space="preserve"> </w:t>
      </w:r>
      <w:r w:rsidRPr="00EF05BE">
        <w:t xml:space="preserve">This report will cover 2010-2012 program activity. </w:t>
      </w:r>
      <w:r w:rsidR="002D2B8C">
        <w:t xml:space="preserve"> </w:t>
      </w:r>
      <w:r w:rsidR="00EF05BE" w:rsidRPr="00EF05BE">
        <w:t xml:space="preserve">The final version of this report is </w:t>
      </w:r>
      <w:r w:rsidRPr="00EF05BE">
        <w:t xml:space="preserve">expected in August 2013. </w:t>
      </w:r>
    </w:p>
    <w:p w:rsidR="00A675D3" w:rsidRPr="00EF05BE" w:rsidRDefault="00A675D3" w:rsidP="00A675D3">
      <w:pPr>
        <w:pStyle w:val="Halfline"/>
      </w:pPr>
    </w:p>
    <w:bookmarkEnd w:id="8"/>
    <w:p w:rsidR="009A0F09" w:rsidRDefault="009A0F09" w:rsidP="00A675D3">
      <w:r>
        <w:lastRenderedPageBreak/>
        <w:t xml:space="preserve">In addition to these interim and final reports, the WO28 evaluation will also generate early feedback memorandums throughout the process that </w:t>
      </w:r>
      <w:r w:rsidR="002B3873">
        <w:t>can provide new/preliminary findings as they become available.</w:t>
      </w:r>
    </w:p>
    <w:p w:rsidR="00496090" w:rsidRDefault="00E617B6" w:rsidP="00C026C6">
      <w:r>
        <w:t xml:space="preserve">While the WO28 evaluation effort will collect most of the information needed to produce regular revisions of the NTGR estimates, other planned </w:t>
      </w:r>
      <w:r w:rsidR="00AF3623">
        <w:t xml:space="preserve">CPUC-sponsored </w:t>
      </w:r>
      <w:r>
        <w:t xml:space="preserve">evaluation activities will also provide useful information. </w:t>
      </w:r>
      <w:r w:rsidR="00E679F4">
        <w:t xml:space="preserve"> </w:t>
      </w:r>
      <w:r>
        <w:t xml:space="preserve">The most </w:t>
      </w:r>
      <w:r w:rsidR="00AF3623">
        <w:t xml:space="preserve">prominent of these is Work Order 13 (WO13): </w:t>
      </w:r>
      <w:r w:rsidR="00AF3623" w:rsidRPr="00AF3623">
        <w:t>Lighting Programs Process Evaluation and Market Characterization</w:t>
      </w:r>
      <w:r w:rsidR="00AF3623">
        <w:t xml:space="preserve">. </w:t>
      </w:r>
      <w:r w:rsidR="00E679F4">
        <w:t xml:space="preserve"> </w:t>
      </w:r>
      <w:r w:rsidR="00AF3623">
        <w:t>The WO13 evaluation will be particularly useful for shedding light on some of the factors such as the EISA legislation and LED market penetration which were discussed in the previous section.</w:t>
      </w:r>
      <w:r w:rsidR="00E679F4">
        <w:t xml:space="preserve"> </w:t>
      </w:r>
      <w:r w:rsidR="00AF3623">
        <w:t xml:space="preserve"> The evaluation will achieve this most immediately through a series of </w:t>
      </w:r>
      <w:r w:rsidR="00274B51">
        <w:t xml:space="preserve">three </w:t>
      </w:r>
      <w:r w:rsidR="00AF3623">
        <w:t xml:space="preserve">“early feedback” research tasks. </w:t>
      </w:r>
      <w:r w:rsidR="00E679F4">
        <w:t xml:space="preserve"> </w:t>
      </w:r>
      <w:r w:rsidR="00AF3623">
        <w:t>These tasks include:</w:t>
      </w:r>
    </w:p>
    <w:p w:rsidR="00102693" w:rsidRDefault="00274B51" w:rsidP="00274B51">
      <w:pPr>
        <w:pStyle w:val="ListParagraph"/>
        <w:numPr>
          <w:ilvl w:val="0"/>
          <w:numId w:val="12"/>
        </w:numPr>
      </w:pPr>
      <w:r w:rsidRPr="002B34E6">
        <w:rPr>
          <w:i/>
        </w:rPr>
        <w:t>Fast-track lighting retail store shelf surveys:</w:t>
      </w:r>
      <w:r>
        <w:t xml:space="preserve"> </w:t>
      </w:r>
      <w:r w:rsidR="00E679F4">
        <w:t xml:space="preserve"> </w:t>
      </w:r>
      <w:r>
        <w:t xml:space="preserve">The WO13 team plans to conduct lighting shelf surveys in 200 California retail stores in the second half of 2011. </w:t>
      </w:r>
      <w:r w:rsidR="00E679F4">
        <w:t xml:space="preserve"> </w:t>
      </w:r>
      <w:r w:rsidR="002B34E6" w:rsidRPr="002B34E6">
        <w:t>These surveys will be conducted primarily to provide both time-series and cross-sectional information on lighting product availability, diversity and pricing, as well as to allow for comparisons over time</w:t>
      </w:r>
      <w:r w:rsidR="002B34E6">
        <w:t>.</w:t>
      </w:r>
    </w:p>
    <w:p w:rsidR="00AF3623" w:rsidRDefault="00102693" w:rsidP="00274B51">
      <w:pPr>
        <w:pStyle w:val="ListParagraph"/>
        <w:numPr>
          <w:ilvl w:val="0"/>
          <w:numId w:val="12"/>
        </w:numPr>
      </w:pPr>
      <w:r w:rsidRPr="00102693">
        <w:rPr>
          <w:i/>
        </w:rPr>
        <w:t>LED market characterization study:</w:t>
      </w:r>
      <w:r>
        <w:t xml:space="preserve"> </w:t>
      </w:r>
      <w:r w:rsidR="00E679F4">
        <w:t xml:space="preserve"> </w:t>
      </w:r>
      <w:r>
        <w:t xml:space="preserve">This study </w:t>
      </w:r>
      <w:r w:rsidR="00A26210">
        <w:t xml:space="preserve">will </w:t>
      </w:r>
      <w:r w:rsidR="00A26210" w:rsidRPr="00A26210">
        <w:t>provide a high-level/preliminary assessment of LED market characteristics and a snapshot of LED product availability and diversity.</w:t>
      </w:r>
      <w:r w:rsidR="00E679F4">
        <w:t xml:space="preserve"> </w:t>
      </w:r>
      <w:r w:rsidR="00A26210" w:rsidRPr="00A26210">
        <w:t xml:space="preserve"> The study will also attempt to provide details on screw-base LED lamp and fixture sales in California as well as data on market share and pricing for these technologies. </w:t>
      </w:r>
      <w:r w:rsidR="00E679F4">
        <w:t xml:space="preserve"> </w:t>
      </w:r>
      <w:r w:rsidR="00A26210" w:rsidRPr="00A26210">
        <w:t>The market characterization will focus on California’s market to the extent that data will allow, and is expected to include data on the national market where California data is not available.</w:t>
      </w:r>
    </w:p>
    <w:p w:rsidR="002B34E6" w:rsidRDefault="002B34E6" w:rsidP="00274B51">
      <w:pPr>
        <w:pStyle w:val="ListParagraph"/>
        <w:numPr>
          <w:ilvl w:val="0"/>
          <w:numId w:val="12"/>
        </w:numPr>
      </w:pPr>
      <w:r w:rsidRPr="002B34E6">
        <w:rPr>
          <w:i/>
        </w:rPr>
        <w:t>Study to assess the early effects of EISA/AB1109:</w:t>
      </w:r>
      <w:r>
        <w:t xml:space="preserve"> </w:t>
      </w:r>
      <w:r w:rsidR="00E679F4">
        <w:t xml:space="preserve"> </w:t>
      </w:r>
      <w:r>
        <w:t xml:space="preserve">The purpose of this </w:t>
      </w:r>
      <w:r w:rsidRPr="002B34E6">
        <w:t xml:space="preserve">study </w:t>
      </w:r>
      <w:r>
        <w:t xml:space="preserve">is </w:t>
      </w:r>
      <w:r w:rsidRPr="002B34E6">
        <w:t xml:space="preserve">to assess the possible early effects of EISA and California Assembly Bill 1109 </w:t>
      </w:r>
      <w:r>
        <w:t xml:space="preserve">mentioned above. </w:t>
      </w:r>
      <w:r w:rsidR="00E679F4">
        <w:t xml:space="preserve"> </w:t>
      </w:r>
      <w:r>
        <w:t xml:space="preserve">The study will assess the impacts of this legislation </w:t>
      </w:r>
      <w:r w:rsidRPr="002B34E6">
        <w:t>on the availability of baseline technologies (i.e., traditional general purpose incandescent lamps) and provide preliminary insights regarding consumer purchasing behaviors in light of possible changes in product availability.</w:t>
      </w:r>
    </w:p>
    <w:p w:rsidR="00A844FB" w:rsidRDefault="00A844FB" w:rsidP="00A844FB">
      <w:pPr>
        <w:pStyle w:val="Halfline"/>
      </w:pPr>
    </w:p>
    <w:p w:rsidR="00102693" w:rsidRDefault="00860BBF" w:rsidP="00A26210">
      <w:r>
        <w:t xml:space="preserve"> </w:t>
      </w:r>
    </w:p>
    <w:sectPr w:rsidR="00102693" w:rsidSect="000262E1">
      <w:headerReference w:type="default" r:id="rId8"/>
      <w:footerReference w:type="default" r:id="rId9"/>
      <w:headerReference w:type="first" r:id="rId10"/>
      <w:footerReference w:type="first" r:id="rId11"/>
      <w:pgSz w:w="12240" w:h="15840"/>
      <w:pgMar w:top="1440" w:right="1440" w:bottom="1440" w:left="1440" w:header="720" w:footer="720" w:gutter="0"/>
      <w:pgNumType w:chapStyle="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FE4" w:rsidRDefault="00D34FE4" w:rsidP="00A0491E">
      <w:pPr>
        <w:spacing w:after="0" w:line="240" w:lineRule="auto"/>
      </w:pPr>
      <w:r>
        <w:separator/>
      </w:r>
    </w:p>
  </w:endnote>
  <w:endnote w:type="continuationSeparator" w:id="0">
    <w:p w:rsidR="00D34FE4" w:rsidRDefault="00D34FE4" w:rsidP="00A049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62766"/>
      <w:docPartObj>
        <w:docPartGallery w:val="Page Numbers (Bottom of Page)"/>
        <w:docPartUnique/>
      </w:docPartObj>
    </w:sdtPr>
    <w:sdtContent>
      <w:p w:rsidR="00D34FE4" w:rsidRDefault="00D34FE4" w:rsidP="003F2968">
        <w:pPr>
          <w:pStyle w:val="Footer"/>
          <w:tabs>
            <w:tab w:val="clear" w:pos="4680"/>
            <w:tab w:val="center" w:pos="4500"/>
            <w:tab w:val="right" w:pos="12960"/>
          </w:tabs>
        </w:pPr>
        <w:r>
          <w:t>Itron, Inc.</w:t>
        </w:r>
        <w:r>
          <w:tab/>
        </w:r>
        <w:fldSimple w:instr=" PAGE   \* MERGEFORMAT ">
          <w:r w:rsidR="00F54374">
            <w:rPr>
              <w:noProof/>
            </w:rPr>
            <w:t>8-12</w:t>
          </w:r>
        </w:fldSimple>
        <w:r>
          <w:tab/>
        </w:r>
        <w:r w:rsidRPr="003F2968">
          <w:t>Updates</w:t>
        </w:r>
        <w:r>
          <w:t xml:space="preserve">: </w:t>
        </w:r>
        <w:r w:rsidRPr="003F2968">
          <w:t>N</w:t>
        </w:r>
        <w:r>
          <w:t>T</w:t>
        </w:r>
        <w:r w:rsidRPr="003F2968">
          <w:t>GR</w:t>
        </w:r>
        <w:r>
          <w:t>-</w:t>
        </w:r>
        <w:r w:rsidRPr="003F2968">
          <w:t>Residential Lighting (CFLs)</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77134"/>
      <w:docPartObj>
        <w:docPartGallery w:val="Page Numbers (Bottom of Page)"/>
        <w:docPartUnique/>
      </w:docPartObj>
    </w:sdtPr>
    <w:sdtContent>
      <w:p w:rsidR="00D34FE4" w:rsidRDefault="00D34FE4" w:rsidP="003F2968">
        <w:pPr>
          <w:pStyle w:val="Footer"/>
          <w:tabs>
            <w:tab w:val="clear" w:pos="4680"/>
            <w:tab w:val="center" w:pos="4500"/>
            <w:tab w:val="right" w:pos="12960"/>
          </w:tabs>
        </w:pPr>
        <w:r>
          <w:t>Itron, Inc.</w:t>
        </w:r>
        <w:r>
          <w:tab/>
        </w:r>
        <w:fldSimple w:instr=" PAGE   \* MERGEFORMAT ">
          <w:r w:rsidR="00F54374">
            <w:rPr>
              <w:noProof/>
            </w:rPr>
            <w:t>8-1</w:t>
          </w:r>
        </w:fldSimple>
        <w:r>
          <w:tab/>
        </w:r>
        <w:r w:rsidRPr="003F2968">
          <w:t>Updates</w:t>
        </w:r>
        <w:r>
          <w:t xml:space="preserve">: </w:t>
        </w:r>
        <w:r w:rsidRPr="003F2968">
          <w:t>N</w:t>
        </w:r>
        <w:r>
          <w:t>T</w:t>
        </w:r>
        <w:r w:rsidRPr="003F2968">
          <w:t>GR</w:t>
        </w:r>
        <w:r>
          <w:t>-</w:t>
        </w:r>
        <w:r w:rsidRPr="003F2968">
          <w:t>Residential Lighting (CFLs)</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FE4" w:rsidRDefault="00D34FE4" w:rsidP="00A0491E">
      <w:pPr>
        <w:spacing w:after="0" w:line="240" w:lineRule="auto"/>
      </w:pPr>
      <w:r>
        <w:separator/>
      </w:r>
    </w:p>
  </w:footnote>
  <w:footnote w:type="continuationSeparator" w:id="0">
    <w:p w:rsidR="00D34FE4" w:rsidRDefault="00D34FE4" w:rsidP="00A0491E">
      <w:pPr>
        <w:spacing w:after="0" w:line="240" w:lineRule="auto"/>
      </w:pPr>
      <w:r>
        <w:continuationSeparator/>
      </w:r>
    </w:p>
  </w:footnote>
  <w:footnote w:id="1">
    <w:p w:rsidR="00D34FE4" w:rsidRDefault="00D34FE4" w:rsidP="00BF6E94">
      <w:pPr>
        <w:pStyle w:val="FootnoteText"/>
      </w:pPr>
      <w:r>
        <w:rPr>
          <w:rStyle w:val="FootnoteReference"/>
        </w:rPr>
        <w:footnoteRef/>
      </w:r>
      <w:r>
        <w:t xml:space="preserve"> </w:t>
      </w:r>
      <w:r>
        <w:tab/>
        <w:t xml:space="preserve">“Advanced” refers to the category of CFLs that are </w:t>
      </w:r>
      <w:r w:rsidRPr="004156B9">
        <w:rPr>
          <w:u w:val="single"/>
        </w:rPr>
        <w:t>not</w:t>
      </w:r>
      <w:r>
        <w:t xml:space="preserve"> basic bare spirals less than 30 watts.  Many of these products are not necessarily </w:t>
      </w:r>
      <w:r w:rsidRPr="004156B9">
        <w:rPr>
          <w:i/>
        </w:rPr>
        <w:t>advanced</w:t>
      </w:r>
      <w:r>
        <w:t xml:space="preserve"> so, to be more accurate, throughout this report we refer to them as specialty (“advanced”) CFLs. </w:t>
      </w:r>
    </w:p>
  </w:footnote>
  <w:footnote w:id="2">
    <w:p w:rsidR="00D34FE4" w:rsidRDefault="00D34FE4" w:rsidP="00AE2568">
      <w:pPr>
        <w:pStyle w:val="FootnoteText"/>
      </w:pPr>
      <w:r>
        <w:rPr>
          <w:rStyle w:val="FootnoteReference"/>
        </w:rPr>
        <w:footnoteRef/>
      </w:r>
      <w:r>
        <w:t xml:space="preserve"> </w:t>
      </w:r>
      <w:r>
        <w:tab/>
        <w:t xml:space="preserve">See Sections 2.3, 3.3 and 6.1.3 in </w:t>
      </w:r>
      <w:r w:rsidRPr="00AE2568">
        <w:rPr>
          <w:i/>
        </w:rPr>
        <w:t>Final Evaluation Report: Upstream Lighting Program, Volume 1,</w:t>
      </w:r>
      <w:r>
        <w:t xml:space="preserve"> February 2010, KEMA.</w:t>
      </w:r>
    </w:p>
  </w:footnote>
  <w:footnote w:id="3">
    <w:p w:rsidR="00D34FE4" w:rsidRDefault="00D34FE4">
      <w:pPr>
        <w:pStyle w:val="FootnoteText"/>
      </w:pPr>
      <w:r>
        <w:rPr>
          <w:rStyle w:val="FootnoteReference"/>
        </w:rPr>
        <w:footnoteRef/>
      </w:r>
      <w:r>
        <w:t xml:space="preserve"> </w:t>
      </w:r>
      <w:r>
        <w:tab/>
        <w:t>Only the supplier self-report and conjoint methods were designed to produce estimates for specific types of CFLs (i.e., basic v. specialty CFLs). Results from those methods were ultimately not used to inform the final recommended NTGR estimates for the 2006-2008 program.</w:t>
      </w:r>
    </w:p>
  </w:footnote>
  <w:footnote w:id="4">
    <w:p w:rsidR="00D34FE4" w:rsidRDefault="00D34FE4">
      <w:pPr>
        <w:pStyle w:val="FootnoteText"/>
      </w:pPr>
      <w:r>
        <w:rPr>
          <w:rStyle w:val="FootnoteReference"/>
        </w:rPr>
        <w:footnoteRef/>
      </w:r>
      <w:r>
        <w:t xml:space="preserve"> </w:t>
      </w:r>
      <w:r>
        <w:tab/>
        <w:t>See Table 12 in Itron’s “NTFR Res CFLs 050208.doc.”</w:t>
      </w:r>
    </w:p>
  </w:footnote>
  <w:footnote w:id="5">
    <w:p w:rsidR="00D34FE4" w:rsidRDefault="00D34FE4">
      <w:pPr>
        <w:pStyle w:val="FootnoteText"/>
      </w:pPr>
      <w:r>
        <w:rPr>
          <w:rStyle w:val="FootnoteReference"/>
        </w:rPr>
        <w:footnoteRef/>
      </w:r>
      <w:r>
        <w:t xml:space="preserve"> </w:t>
      </w:r>
      <w:r>
        <w:tab/>
        <w:t xml:space="preserve">Itron indicated that its recommendation of 0.60 as a forward-looking NTGR estimate for basic CFLs was, at that time, conservative </w:t>
      </w:r>
      <w:r w:rsidRPr="00983C59">
        <w:t xml:space="preserve">due to the significant reported increase in </w:t>
      </w:r>
      <w:r>
        <w:t xml:space="preserve">basic </w:t>
      </w:r>
      <w:r w:rsidRPr="00983C59">
        <w:t xml:space="preserve">CFL sales in states without active programs and </w:t>
      </w:r>
      <w:r>
        <w:t xml:space="preserve">their observation of </w:t>
      </w:r>
      <w:r w:rsidRPr="00983C59">
        <w:t>decreasing</w:t>
      </w:r>
      <w:r>
        <w:t xml:space="preserve">/converging basic CFL prices </w:t>
      </w:r>
      <w:r w:rsidRPr="00983C59">
        <w:t xml:space="preserve">across different states. </w:t>
      </w:r>
      <w:r>
        <w:t xml:space="preserve"> It should be noted that there was very little evidence provided in the documentation accompanying the last DEER update to support the recommended NTGR estimate of 0.85 for specialty CFLs. </w:t>
      </w:r>
    </w:p>
  </w:footnote>
  <w:footnote w:id="6">
    <w:p w:rsidR="00D34FE4" w:rsidRDefault="00D34FE4" w:rsidP="00F10A5C">
      <w:pPr>
        <w:pStyle w:val="FootnoteText"/>
      </w:pPr>
      <w:r>
        <w:rPr>
          <w:rStyle w:val="FootnoteReference"/>
        </w:rPr>
        <w:footnoteRef/>
      </w:r>
      <w:r>
        <w:t xml:space="preserve"> </w:t>
      </w:r>
      <w:r>
        <w:tab/>
        <w:t>While NTGR estimates were produced using the supplier self-report and the conjoint methods, these estimates were deemed unreliable and thus not considered as part of the final set of recommended NTGR estimates.</w:t>
      </w:r>
    </w:p>
  </w:footnote>
  <w:footnote w:id="7">
    <w:p w:rsidR="00D34FE4" w:rsidRDefault="00D34FE4">
      <w:pPr>
        <w:pStyle w:val="FootnoteText"/>
      </w:pPr>
      <w:r>
        <w:rPr>
          <w:rStyle w:val="FootnoteReference"/>
        </w:rPr>
        <w:footnoteRef/>
      </w:r>
      <w:r>
        <w:t xml:space="preserve"> </w:t>
      </w:r>
      <w:r>
        <w:tab/>
        <w:t>Throughout this report, we refer to program tracking data collected for the following IOU program periods: 2006-2008, and 2010 through Q1 2011.  For simplicity, the heading “2010” is often used to represent data reported for the 2010 program year through Q1 2011.  Limited information is available from the 2009 program period; we estimate that 30 million CFLs were distributed in 2009 through the IOU upstream programs.</w:t>
      </w:r>
    </w:p>
  </w:footnote>
  <w:footnote w:id="8">
    <w:p w:rsidR="00D34FE4" w:rsidRDefault="00D34FE4" w:rsidP="003068FA">
      <w:pPr>
        <w:pStyle w:val="FootnoteText"/>
      </w:pPr>
      <w:r>
        <w:rPr>
          <w:rStyle w:val="FootnoteReference"/>
        </w:rPr>
        <w:footnoteRef/>
      </w:r>
      <w:r>
        <w:t xml:space="preserve"> </w:t>
      </w:r>
      <w:r>
        <w:tab/>
      </w:r>
      <w:r w:rsidRPr="00607C22">
        <w:rPr>
          <w:i/>
        </w:rPr>
        <w:t>Massachusetts Energy Star Lighting Program: 2010 Annual Report, Volume 1</w:t>
      </w:r>
      <w:r>
        <w:t>, submitted to Energy Efficiency Advisory Council Consultants, Cape Light Compact, NSTAR, National Grid, Unitil and Western Massachusetts Electric, June 2011, NMR Group, Inc.</w:t>
      </w:r>
    </w:p>
  </w:footnote>
  <w:footnote w:id="9">
    <w:p w:rsidR="00D34FE4" w:rsidRDefault="00D34FE4" w:rsidP="003068FA">
      <w:pPr>
        <w:pStyle w:val="FootnoteText"/>
      </w:pPr>
      <w:r>
        <w:rPr>
          <w:rStyle w:val="FootnoteReference"/>
        </w:rPr>
        <w:footnoteRef/>
      </w:r>
      <w:r>
        <w:t xml:space="preserve"> </w:t>
      </w:r>
      <w:r>
        <w:tab/>
      </w:r>
      <w:r w:rsidRPr="00681220">
        <w:rPr>
          <w:i/>
        </w:rPr>
        <w:t>Energy Efficiency / Demand Response Plan: Plan Year 2 (6/1/2009-5/31/2010), Evaluation Report: Residential Energy Star ® Lighting</w:t>
      </w:r>
      <w:r>
        <w:t>, prepared for Commonwealth Edison Company, December 2010, Navigant Consulting.</w:t>
      </w:r>
    </w:p>
  </w:footnote>
  <w:footnote w:id="10">
    <w:p w:rsidR="00D34FE4" w:rsidRDefault="00D34FE4" w:rsidP="008D00AC">
      <w:pPr>
        <w:pStyle w:val="FootnoteText"/>
      </w:pPr>
      <w:r>
        <w:rPr>
          <w:rStyle w:val="FootnoteReference"/>
        </w:rPr>
        <w:footnoteRef/>
      </w:r>
      <w:r>
        <w:t xml:space="preserve"> </w:t>
      </w:r>
      <w:r>
        <w:tab/>
        <w:t xml:space="preserve">Bradsher, K., 2011. China Consolidates Grip on Rare Earths. </w:t>
      </w:r>
      <w:r>
        <w:rPr>
          <w:i/>
        </w:rPr>
        <w:t xml:space="preserve">The New York </w:t>
      </w:r>
      <w:r w:rsidRPr="00F761F7">
        <w:rPr>
          <w:i/>
        </w:rPr>
        <w:t>Times.</w:t>
      </w:r>
      <w:r>
        <w:t xml:space="preserve"> New York Edition, Page B1. </w:t>
      </w:r>
      <w:r w:rsidRPr="00F761F7">
        <w:t>September</w:t>
      </w:r>
      <w:r>
        <w:t xml:space="preserve"> 15, 2011</w:t>
      </w:r>
      <w:r w:rsidRPr="00F761F7">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FE4" w:rsidRPr="00284D7D" w:rsidRDefault="00D34FE4" w:rsidP="00284D7D">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FE4" w:rsidRDefault="00D34FE4" w:rsidP="00000DE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80FE3246"/>
    <w:lvl w:ilvl="0">
      <w:start w:val="8"/>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7CD7305"/>
    <w:multiLevelType w:val="hybridMultilevel"/>
    <w:tmpl w:val="99FA8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nsid w:val="0B8B7295"/>
    <w:multiLevelType w:val="multilevel"/>
    <w:tmpl w:val="67F0C0C4"/>
    <w:numStyleLink w:val="CnAListBullets"/>
  </w:abstractNum>
  <w:abstractNum w:abstractNumId="5">
    <w:nsid w:val="0EAD3D56"/>
    <w:multiLevelType w:val="hybridMultilevel"/>
    <w:tmpl w:val="791C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35F27"/>
    <w:multiLevelType w:val="multilevel"/>
    <w:tmpl w:val="67F0C0C4"/>
    <w:numStyleLink w:val="CnAListBullets"/>
  </w:abstractNum>
  <w:abstractNum w:abstractNumId="7">
    <w:nsid w:val="14454948"/>
    <w:multiLevelType w:val="hybridMultilevel"/>
    <w:tmpl w:val="CADA8DCE"/>
    <w:lvl w:ilvl="0" w:tplc="682493BA">
      <w:start w:val="1"/>
      <w:numFmt w:val="decimal"/>
      <w:lvlText w:val="%1."/>
      <w:lvlJc w:val="left"/>
      <w:pPr>
        <w:tabs>
          <w:tab w:val="num" w:pos="720"/>
        </w:tabs>
        <w:ind w:left="720" w:hanging="72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
    <w:nsid w:val="1D1D1E9B"/>
    <w:multiLevelType w:val="multilevel"/>
    <w:tmpl w:val="67F0C0C4"/>
    <w:numStyleLink w:val="CnAListBullets"/>
  </w:abstractNum>
  <w:abstractNum w:abstractNumId="9">
    <w:nsid w:val="218945C8"/>
    <w:multiLevelType w:val="hybridMultilevel"/>
    <w:tmpl w:val="97A8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2B0AC4"/>
    <w:multiLevelType w:val="multilevel"/>
    <w:tmpl w:val="67F0C0C4"/>
    <w:numStyleLink w:val="CnAListBullets"/>
  </w:abstractNum>
  <w:abstractNum w:abstractNumId="11">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12">
    <w:nsid w:val="2E1D45F1"/>
    <w:multiLevelType w:val="hybridMultilevel"/>
    <w:tmpl w:val="F0BE4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C75181"/>
    <w:multiLevelType w:val="hybridMultilevel"/>
    <w:tmpl w:val="304A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14DA9"/>
    <w:multiLevelType w:val="hybridMultilevel"/>
    <w:tmpl w:val="4A1C77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D843745"/>
    <w:multiLevelType w:val="hybridMultilevel"/>
    <w:tmpl w:val="1D56D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28504E"/>
    <w:multiLevelType w:val="hybridMultilevel"/>
    <w:tmpl w:val="F59C0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2D2316"/>
    <w:multiLevelType w:val="multilevel"/>
    <w:tmpl w:val="F5E86536"/>
    <w:lvl w:ilvl="0">
      <w:start w:val="3"/>
      <w:numFmt w:val="decimal"/>
      <w:suff w:val="nothing"/>
      <w:lvlText w:val="%1"/>
      <w:lvlJc w:val="left"/>
      <w:pPr>
        <w:ind w:left="0" w:firstLine="0"/>
      </w:pPr>
      <w:rPr>
        <w:rFonts w:ascii="Arial" w:hAnsi="Arial" w:hint="default"/>
        <w:b/>
        <w:i/>
        <w:sz w:val="72"/>
      </w:rPr>
    </w:lvl>
    <w:lvl w:ilvl="1">
      <w:start w:val="1"/>
      <w:numFmt w:val="decimal"/>
      <w:suff w:val="nothing"/>
      <w:lvlText w:val="%1.%2  "/>
      <w:lvlJc w:val="left"/>
      <w:pPr>
        <w:ind w:left="0" w:firstLine="0"/>
      </w:pPr>
      <w:rPr>
        <w:rFonts w:ascii="Arial" w:hAnsi="Arial" w:hint="default"/>
        <w:b/>
        <w:i w:val="0"/>
        <w:sz w:val="28"/>
      </w:rPr>
    </w:lvl>
    <w:lvl w:ilvl="2">
      <w:start w:val="1"/>
      <w:numFmt w:val="decimal"/>
      <w:suff w:val="nothing"/>
      <w:lvlText w:val="%1.%2.%3  "/>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nsid w:val="4680704D"/>
    <w:multiLevelType w:val="hybridMultilevel"/>
    <w:tmpl w:val="29C6F568"/>
    <w:lvl w:ilvl="0" w:tplc="682493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3423F"/>
    <w:multiLevelType w:val="hybridMultilevel"/>
    <w:tmpl w:val="47C6E2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AA669E4"/>
    <w:multiLevelType w:val="multilevel"/>
    <w:tmpl w:val="67F0C0C4"/>
    <w:numStyleLink w:val="CnAListBullets"/>
  </w:abstractNum>
  <w:abstractNum w:abstractNumId="21">
    <w:nsid w:val="5DB8228E"/>
    <w:multiLevelType w:val="multilevel"/>
    <w:tmpl w:val="67F0C0C4"/>
    <w:numStyleLink w:val="CnAListBullets"/>
  </w:abstractNum>
  <w:abstractNum w:abstractNumId="22">
    <w:nsid w:val="6A767901"/>
    <w:multiLevelType w:val="multilevel"/>
    <w:tmpl w:val="67F0C0C4"/>
    <w:numStyleLink w:val="CnAListBullets"/>
  </w:abstractNum>
  <w:abstractNum w:abstractNumId="23">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24">
    <w:nsid w:val="6D3A0902"/>
    <w:multiLevelType w:val="hybridMultilevel"/>
    <w:tmpl w:val="6C880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EB6A9A"/>
    <w:multiLevelType w:val="hybridMultilevel"/>
    <w:tmpl w:val="D0EEE262"/>
    <w:lvl w:ilvl="0" w:tplc="4CF81B1C">
      <w:numFmt w:val="bullet"/>
      <w:lvlText w:val=""/>
      <w:lvlJc w:val="left"/>
      <w:pPr>
        <w:ind w:left="360" w:hanging="360"/>
      </w:pPr>
      <w:rPr>
        <w:rFonts w:ascii="Symbol" w:eastAsiaTheme="minorHAnsi"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0530046"/>
    <w:multiLevelType w:val="multilevel"/>
    <w:tmpl w:val="67F0C0C4"/>
    <w:numStyleLink w:val="CnAListBullets"/>
  </w:abstractNum>
  <w:abstractNum w:abstractNumId="27">
    <w:nsid w:val="73F540A6"/>
    <w:multiLevelType w:val="hybridMultilevel"/>
    <w:tmpl w:val="BC8E2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5"/>
  </w:num>
  <w:num w:numId="3">
    <w:abstractNumId w:val="9"/>
  </w:num>
  <w:num w:numId="4">
    <w:abstractNumId w:val="13"/>
  </w:num>
  <w:num w:numId="5">
    <w:abstractNumId w:val="5"/>
  </w:num>
  <w:num w:numId="6">
    <w:abstractNumId w:val="14"/>
  </w:num>
  <w:num w:numId="7">
    <w:abstractNumId w:val="2"/>
  </w:num>
  <w:num w:numId="8">
    <w:abstractNumId w:val="25"/>
  </w:num>
  <w:num w:numId="9">
    <w:abstractNumId w:val="7"/>
  </w:num>
  <w:num w:numId="10">
    <w:abstractNumId w:val="19"/>
  </w:num>
  <w:num w:numId="11">
    <w:abstractNumId w:val="27"/>
  </w:num>
  <w:num w:numId="12">
    <w:abstractNumId w:val="12"/>
  </w:num>
  <w:num w:numId="13">
    <w:abstractNumId w:val="24"/>
  </w:num>
  <w:num w:numId="14">
    <w:abstractNumId w:val="1"/>
  </w:num>
  <w:num w:numId="15">
    <w:abstractNumId w:val="3"/>
  </w:num>
  <w:num w:numId="16">
    <w:abstractNumId w:val="0"/>
  </w:num>
  <w:num w:numId="17">
    <w:abstractNumId w:val="23"/>
  </w:num>
  <w:num w:numId="18">
    <w:abstractNumId w:val="11"/>
  </w:num>
  <w:num w:numId="19">
    <w:abstractNumId w:val="17"/>
  </w:num>
  <w:num w:numId="20">
    <w:abstractNumId w:val="21"/>
  </w:num>
  <w:num w:numId="21">
    <w:abstractNumId w:val="26"/>
  </w:num>
  <w:num w:numId="22">
    <w:abstractNumId w:val="6"/>
  </w:num>
  <w:num w:numId="23">
    <w:abstractNumId w:val="18"/>
  </w:num>
  <w:num w:numId="24">
    <w:abstractNumId w:val="4"/>
  </w:num>
  <w:num w:numId="25">
    <w:abstractNumId w:val="20"/>
  </w:num>
  <w:num w:numId="26">
    <w:abstractNumId w:val="10"/>
  </w:num>
  <w:num w:numId="27">
    <w:abstractNumId w:val="8"/>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102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568CF"/>
    <w:rsid w:val="00000DE2"/>
    <w:rsid w:val="0000336D"/>
    <w:rsid w:val="00006749"/>
    <w:rsid w:val="000262E1"/>
    <w:rsid w:val="00032952"/>
    <w:rsid w:val="00037B4A"/>
    <w:rsid w:val="000659F7"/>
    <w:rsid w:val="00091196"/>
    <w:rsid w:val="000A51CF"/>
    <w:rsid w:val="000C0BAA"/>
    <w:rsid w:val="000D2848"/>
    <w:rsid w:val="000D7DC9"/>
    <w:rsid w:val="00102693"/>
    <w:rsid w:val="001A204F"/>
    <w:rsid w:val="001D026B"/>
    <w:rsid w:val="001D595B"/>
    <w:rsid w:val="00223595"/>
    <w:rsid w:val="00245EB7"/>
    <w:rsid w:val="00274B51"/>
    <w:rsid w:val="00284D7D"/>
    <w:rsid w:val="002868DA"/>
    <w:rsid w:val="0029043C"/>
    <w:rsid w:val="002A56A7"/>
    <w:rsid w:val="002B34E6"/>
    <w:rsid w:val="002B3873"/>
    <w:rsid w:val="002B6928"/>
    <w:rsid w:val="002C3675"/>
    <w:rsid w:val="002C499C"/>
    <w:rsid w:val="002C7347"/>
    <w:rsid w:val="002D2B8C"/>
    <w:rsid w:val="003068FA"/>
    <w:rsid w:val="00312444"/>
    <w:rsid w:val="00316EF7"/>
    <w:rsid w:val="00321F09"/>
    <w:rsid w:val="003640C0"/>
    <w:rsid w:val="00367075"/>
    <w:rsid w:val="00371454"/>
    <w:rsid w:val="00387EC5"/>
    <w:rsid w:val="003C59E9"/>
    <w:rsid w:val="003F2968"/>
    <w:rsid w:val="00412F97"/>
    <w:rsid w:val="004156B9"/>
    <w:rsid w:val="00433595"/>
    <w:rsid w:val="00436927"/>
    <w:rsid w:val="00472A79"/>
    <w:rsid w:val="00473CEC"/>
    <w:rsid w:val="00486648"/>
    <w:rsid w:val="00495689"/>
    <w:rsid w:val="00496090"/>
    <w:rsid w:val="004A5593"/>
    <w:rsid w:val="004C4D0D"/>
    <w:rsid w:val="005115CC"/>
    <w:rsid w:val="005311D9"/>
    <w:rsid w:val="00534C44"/>
    <w:rsid w:val="00554A0A"/>
    <w:rsid w:val="005561E4"/>
    <w:rsid w:val="0056691B"/>
    <w:rsid w:val="005A7677"/>
    <w:rsid w:val="005D0B6D"/>
    <w:rsid w:val="005E69FD"/>
    <w:rsid w:val="005F1BC7"/>
    <w:rsid w:val="00603253"/>
    <w:rsid w:val="00607C22"/>
    <w:rsid w:val="0061784D"/>
    <w:rsid w:val="006322F5"/>
    <w:rsid w:val="00642DA8"/>
    <w:rsid w:val="00662148"/>
    <w:rsid w:val="00681220"/>
    <w:rsid w:val="00686182"/>
    <w:rsid w:val="006977ED"/>
    <w:rsid w:val="006B3DD2"/>
    <w:rsid w:val="006D6EF7"/>
    <w:rsid w:val="007003E9"/>
    <w:rsid w:val="00724A50"/>
    <w:rsid w:val="00744D1F"/>
    <w:rsid w:val="00745D3B"/>
    <w:rsid w:val="007568CF"/>
    <w:rsid w:val="00796850"/>
    <w:rsid w:val="007A2D0E"/>
    <w:rsid w:val="007B2479"/>
    <w:rsid w:val="007B2A04"/>
    <w:rsid w:val="007E2830"/>
    <w:rsid w:val="00803DCD"/>
    <w:rsid w:val="0083495B"/>
    <w:rsid w:val="00851D5B"/>
    <w:rsid w:val="00860BBF"/>
    <w:rsid w:val="00867F3B"/>
    <w:rsid w:val="00873296"/>
    <w:rsid w:val="00883908"/>
    <w:rsid w:val="00897B83"/>
    <w:rsid w:val="008A57BC"/>
    <w:rsid w:val="008C0FA7"/>
    <w:rsid w:val="008D00AC"/>
    <w:rsid w:val="008D16F3"/>
    <w:rsid w:val="008D67F1"/>
    <w:rsid w:val="0091537A"/>
    <w:rsid w:val="009242F2"/>
    <w:rsid w:val="00931AD2"/>
    <w:rsid w:val="00945BED"/>
    <w:rsid w:val="00973BAA"/>
    <w:rsid w:val="00983C59"/>
    <w:rsid w:val="009A0F09"/>
    <w:rsid w:val="009D3840"/>
    <w:rsid w:val="009D6E5E"/>
    <w:rsid w:val="009E7FBF"/>
    <w:rsid w:val="009F180A"/>
    <w:rsid w:val="00A0491E"/>
    <w:rsid w:val="00A04BB6"/>
    <w:rsid w:val="00A070B8"/>
    <w:rsid w:val="00A12C99"/>
    <w:rsid w:val="00A23D03"/>
    <w:rsid w:val="00A26210"/>
    <w:rsid w:val="00A26F7B"/>
    <w:rsid w:val="00A40C72"/>
    <w:rsid w:val="00A675D3"/>
    <w:rsid w:val="00A8399D"/>
    <w:rsid w:val="00A844FB"/>
    <w:rsid w:val="00AC7648"/>
    <w:rsid w:val="00AE2568"/>
    <w:rsid w:val="00AF3623"/>
    <w:rsid w:val="00B51A6D"/>
    <w:rsid w:val="00B73356"/>
    <w:rsid w:val="00B8720B"/>
    <w:rsid w:val="00B87612"/>
    <w:rsid w:val="00BA683B"/>
    <w:rsid w:val="00BF6E94"/>
    <w:rsid w:val="00C0081A"/>
    <w:rsid w:val="00C026C6"/>
    <w:rsid w:val="00C15F35"/>
    <w:rsid w:val="00C40591"/>
    <w:rsid w:val="00C40C61"/>
    <w:rsid w:val="00C532BC"/>
    <w:rsid w:val="00C66EDC"/>
    <w:rsid w:val="00C74561"/>
    <w:rsid w:val="00C8038C"/>
    <w:rsid w:val="00C87830"/>
    <w:rsid w:val="00CA3E11"/>
    <w:rsid w:val="00D06E58"/>
    <w:rsid w:val="00D34FE4"/>
    <w:rsid w:val="00D36C32"/>
    <w:rsid w:val="00D37B46"/>
    <w:rsid w:val="00D45CF6"/>
    <w:rsid w:val="00D95DAD"/>
    <w:rsid w:val="00DC3A6B"/>
    <w:rsid w:val="00E06242"/>
    <w:rsid w:val="00E15962"/>
    <w:rsid w:val="00E223C6"/>
    <w:rsid w:val="00E300F6"/>
    <w:rsid w:val="00E369CE"/>
    <w:rsid w:val="00E617B6"/>
    <w:rsid w:val="00E679F4"/>
    <w:rsid w:val="00EA2CE6"/>
    <w:rsid w:val="00ED00A1"/>
    <w:rsid w:val="00EF05BE"/>
    <w:rsid w:val="00EF2B01"/>
    <w:rsid w:val="00F0049A"/>
    <w:rsid w:val="00F031E5"/>
    <w:rsid w:val="00F10A5C"/>
    <w:rsid w:val="00F37EB6"/>
    <w:rsid w:val="00F54374"/>
    <w:rsid w:val="00F559C1"/>
    <w:rsid w:val="00F962E8"/>
    <w:rsid w:val="00FB33E6"/>
    <w:rsid w:val="00FC2503"/>
    <w:rsid w:val="00FD06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annotation reference" w:uiPriority="0"/>
    <w:lsdException w:name="line number" w:uiPriority="0"/>
    <w:lsdException w:name="page number" w:uiPriority="0"/>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675"/>
    <w:pPr>
      <w:spacing w:after="280" w:line="320" w:lineRule="atLeast"/>
      <w:jc w:val="both"/>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C3675"/>
    <w:pPr>
      <w:keepNext/>
      <w:numPr>
        <w:numId w:val="14"/>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qFormat/>
    <w:rsid w:val="002C3675"/>
    <w:pPr>
      <w:keepNext/>
      <w:numPr>
        <w:ilvl w:val="1"/>
        <w:numId w:val="14"/>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qFormat/>
    <w:rsid w:val="002C3675"/>
    <w:pPr>
      <w:keepNext/>
      <w:numPr>
        <w:ilvl w:val="2"/>
        <w:numId w:val="14"/>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qFormat/>
    <w:rsid w:val="002C3675"/>
    <w:pPr>
      <w:keepNext/>
      <w:keepLines/>
      <w:numPr>
        <w:ilvl w:val="3"/>
        <w:numId w:val="14"/>
      </w:numPr>
      <w:spacing w:after="180"/>
      <w:jc w:val="left"/>
      <w:outlineLvl w:val="3"/>
    </w:pPr>
    <w:rPr>
      <w:b/>
      <w:i/>
      <w:iCs/>
      <w:u w:val="single"/>
    </w:rPr>
  </w:style>
  <w:style w:type="paragraph" w:styleId="Heading5">
    <w:name w:val="heading 5"/>
    <w:basedOn w:val="Normal"/>
    <w:next w:val="Normal"/>
    <w:link w:val="Heading5Char"/>
    <w:qFormat/>
    <w:rsid w:val="002C3675"/>
    <w:pPr>
      <w:keepNext/>
      <w:keepLines/>
      <w:numPr>
        <w:ilvl w:val="4"/>
        <w:numId w:val="14"/>
      </w:numPr>
      <w:outlineLvl w:val="4"/>
    </w:pPr>
    <w:rPr>
      <w:rFonts w:cs="Arial"/>
      <w:bCs/>
      <w:i/>
      <w:u w:val="single"/>
    </w:rPr>
  </w:style>
  <w:style w:type="paragraph" w:styleId="Heading6">
    <w:name w:val="heading 6"/>
    <w:basedOn w:val="Heading1"/>
    <w:next w:val="Normal"/>
    <w:link w:val="Heading6Char"/>
    <w:qFormat/>
    <w:rsid w:val="002C3675"/>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qFormat/>
    <w:rsid w:val="002C3675"/>
    <w:pPr>
      <w:numPr>
        <w:ilvl w:val="6"/>
      </w:numPr>
      <w:tabs>
        <w:tab w:val="left" w:pos="3456"/>
      </w:tabs>
      <w:outlineLvl w:val="6"/>
    </w:pPr>
  </w:style>
  <w:style w:type="paragraph" w:styleId="Heading8">
    <w:name w:val="heading 8"/>
    <w:basedOn w:val="Normal"/>
    <w:next w:val="Normal"/>
    <w:link w:val="Heading8Char"/>
    <w:qFormat/>
    <w:rsid w:val="002C3675"/>
    <w:pPr>
      <w:numPr>
        <w:ilvl w:val="7"/>
        <w:numId w:val="14"/>
      </w:numPr>
      <w:outlineLvl w:val="7"/>
    </w:pPr>
    <w:rPr>
      <w:rFonts w:ascii="Tms Rmn" w:hAnsi="Tms Rmn"/>
      <w:i/>
      <w:iCs/>
      <w:sz w:val="20"/>
      <w:szCs w:val="20"/>
    </w:rPr>
  </w:style>
  <w:style w:type="paragraph" w:styleId="Heading9">
    <w:name w:val="heading 9"/>
    <w:basedOn w:val="Normal"/>
    <w:next w:val="Normal"/>
    <w:link w:val="Heading9Char"/>
    <w:qFormat/>
    <w:rsid w:val="002C3675"/>
    <w:pPr>
      <w:numPr>
        <w:ilvl w:val="8"/>
        <w:numId w:val="14"/>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sid w:val="002C3675"/>
    <w:pPr>
      <w:keepNext/>
      <w:keepLines/>
      <w:spacing w:before="120" w:after="120"/>
      <w:jc w:val="left"/>
    </w:pPr>
    <w:rPr>
      <w:rFonts w:ascii="Arial" w:hAnsi="Arial" w:cs="Arial"/>
      <w:b/>
      <w:bCs/>
    </w:rPr>
  </w:style>
  <w:style w:type="character" w:customStyle="1" w:styleId="Heading2Char">
    <w:name w:val="Heading 2 Char"/>
    <w:basedOn w:val="DefaultParagraphFont"/>
    <w:link w:val="Heading2"/>
    <w:rsid w:val="007568CF"/>
    <w:rPr>
      <w:rFonts w:ascii="Arial" w:eastAsia="Times New Roman" w:hAnsi="Arial" w:cs="Arial"/>
      <w:b/>
      <w:bCs/>
      <w:sz w:val="28"/>
      <w:szCs w:val="28"/>
    </w:rPr>
  </w:style>
  <w:style w:type="paragraph" w:styleId="FootnoteText">
    <w:name w:val="footnote text"/>
    <w:basedOn w:val="Normal"/>
    <w:link w:val="FootnoteTextChar"/>
    <w:autoRedefine/>
    <w:uiPriority w:val="99"/>
    <w:rsid w:val="002C3675"/>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rsid w:val="002C3675"/>
    <w:rPr>
      <w:rFonts w:ascii="Tms Rmn" w:eastAsia="Times New Roman" w:hAnsi="Tms Rmn" w:cs="Times New Roman"/>
      <w:sz w:val="20"/>
      <w:szCs w:val="20"/>
    </w:rPr>
  </w:style>
  <w:style w:type="character" w:styleId="FootnoteReference">
    <w:name w:val="footnote reference"/>
    <w:basedOn w:val="DefaultParagraphFont"/>
    <w:uiPriority w:val="99"/>
    <w:rsid w:val="002C3675"/>
    <w:rPr>
      <w:position w:val="6"/>
      <w:sz w:val="16"/>
      <w:szCs w:val="16"/>
    </w:rPr>
  </w:style>
  <w:style w:type="paragraph" w:styleId="ListParagraph">
    <w:name w:val="List Paragraph"/>
    <w:basedOn w:val="Normal"/>
    <w:uiPriority w:val="99"/>
    <w:qFormat/>
    <w:rsid w:val="002C3675"/>
    <w:pPr>
      <w:spacing w:after="80"/>
    </w:pPr>
  </w:style>
  <w:style w:type="character" w:customStyle="1" w:styleId="Heading3Char">
    <w:name w:val="Heading 3 Char"/>
    <w:basedOn w:val="DefaultParagraphFont"/>
    <w:link w:val="Heading3"/>
    <w:rsid w:val="00433595"/>
    <w:rPr>
      <w:rFonts w:ascii="Arial" w:eastAsia="Times New Roman" w:hAnsi="Arial" w:cs="Arial"/>
      <w:b/>
      <w:bCs/>
      <w:i/>
      <w:iCs/>
      <w:sz w:val="24"/>
      <w:szCs w:val="24"/>
    </w:rPr>
  </w:style>
  <w:style w:type="character" w:customStyle="1" w:styleId="Heading1Char">
    <w:name w:val="Heading 1 Char"/>
    <w:basedOn w:val="DefaultParagraphFont"/>
    <w:link w:val="Heading1"/>
    <w:rsid w:val="00607C22"/>
    <w:rPr>
      <w:rFonts w:ascii="Arial" w:eastAsia="Times New Roman" w:hAnsi="Arial" w:cs="Arial"/>
      <w:b/>
      <w:bCs/>
      <w:sz w:val="36"/>
      <w:szCs w:val="36"/>
    </w:rPr>
  </w:style>
  <w:style w:type="character" w:customStyle="1" w:styleId="Heading4Char">
    <w:name w:val="Heading 4 Char"/>
    <w:basedOn w:val="DefaultParagraphFont"/>
    <w:link w:val="Heading4"/>
    <w:rsid w:val="00744D1F"/>
    <w:rPr>
      <w:rFonts w:ascii="Times New Roman" w:eastAsia="Times New Roman" w:hAnsi="Times New Roman" w:cs="Times New Roman"/>
      <w:b/>
      <w:i/>
      <w:iCs/>
      <w:sz w:val="24"/>
      <w:szCs w:val="24"/>
      <w:u w:val="single"/>
    </w:rPr>
  </w:style>
  <w:style w:type="character" w:styleId="CommentReference">
    <w:name w:val="annotation reference"/>
    <w:basedOn w:val="DefaultParagraphFont"/>
    <w:rsid w:val="002C3675"/>
    <w:rPr>
      <w:sz w:val="16"/>
    </w:rPr>
  </w:style>
  <w:style w:type="paragraph" w:styleId="CommentText">
    <w:name w:val="annotation text"/>
    <w:basedOn w:val="Normal"/>
    <w:link w:val="CommentTextChar"/>
    <w:rsid w:val="002C3675"/>
    <w:rPr>
      <w:sz w:val="20"/>
      <w:szCs w:val="20"/>
    </w:rPr>
  </w:style>
  <w:style w:type="character" w:customStyle="1" w:styleId="CommentTextChar">
    <w:name w:val="Comment Text Char"/>
    <w:basedOn w:val="DefaultParagraphFont"/>
    <w:link w:val="CommentText"/>
    <w:rsid w:val="0088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2C3675"/>
    <w:rPr>
      <w:b/>
      <w:bCs/>
    </w:rPr>
  </w:style>
  <w:style w:type="character" w:customStyle="1" w:styleId="CommentSubjectChar">
    <w:name w:val="Comment Subject Char"/>
    <w:basedOn w:val="CommentTextChar"/>
    <w:link w:val="CommentSubject"/>
    <w:rsid w:val="00883908"/>
    <w:rPr>
      <w:b/>
      <w:bCs/>
    </w:rPr>
  </w:style>
  <w:style w:type="paragraph" w:styleId="BalloonText">
    <w:name w:val="Balloon Text"/>
    <w:basedOn w:val="Normal"/>
    <w:link w:val="BalloonTextChar"/>
    <w:rsid w:val="002C3675"/>
    <w:rPr>
      <w:rFonts w:ascii="Tahoma" w:hAnsi="Tahoma" w:cs="Tahoma"/>
      <w:sz w:val="16"/>
      <w:szCs w:val="16"/>
    </w:rPr>
  </w:style>
  <w:style w:type="character" w:customStyle="1" w:styleId="BalloonTextChar">
    <w:name w:val="Balloon Text Char"/>
    <w:basedOn w:val="DefaultParagraphFont"/>
    <w:link w:val="BalloonText"/>
    <w:rsid w:val="00883908"/>
    <w:rPr>
      <w:rFonts w:ascii="Tahoma" w:eastAsia="Times New Roman" w:hAnsi="Tahoma" w:cs="Tahoma"/>
      <w:sz w:val="16"/>
      <w:szCs w:val="16"/>
    </w:rPr>
  </w:style>
  <w:style w:type="paragraph" w:customStyle="1" w:styleId="ParaText">
    <w:name w:val="ParaText"/>
    <w:basedOn w:val="Normal"/>
    <w:qFormat/>
    <w:rsid w:val="00496090"/>
    <w:pPr>
      <w:spacing w:after="240" w:line="312" w:lineRule="auto"/>
    </w:pPr>
    <w:rPr>
      <w:rFonts w:ascii="Arial" w:hAnsi="Arial"/>
    </w:rPr>
  </w:style>
  <w:style w:type="paragraph" w:styleId="Header">
    <w:name w:val="header"/>
    <w:basedOn w:val="pF"/>
    <w:link w:val="HeaderChar"/>
    <w:rsid w:val="002C3675"/>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rsid w:val="00F031E5"/>
    <w:rPr>
      <w:rFonts w:ascii="Tms Rmn" w:eastAsia="Times New Roman" w:hAnsi="Tms Rmn" w:cs="Times New Roman"/>
      <w:i/>
      <w:iCs/>
      <w:sz w:val="24"/>
      <w:szCs w:val="24"/>
    </w:rPr>
  </w:style>
  <w:style w:type="paragraph" w:styleId="Footer">
    <w:name w:val="footer"/>
    <w:basedOn w:val="Header"/>
    <w:link w:val="FooterChar"/>
    <w:rsid w:val="002C3675"/>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rsid w:val="00F031E5"/>
    <w:rPr>
      <w:rFonts w:ascii="Tms Rmn" w:eastAsia="Times New Roman" w:hAnsi="Tms Rmn" w:cs="Times New Roman"/>
      <w:i/>
      <w:iCs/>
      <w:sz w:val="24"/>
      <w:szCs w:val="24"/>
    </w:rPr>
  </w:style>
  <w:style w:type="character" w:customStyle="1" w:styleId="Heading5Char">
    <w:name w:val="Heading 5 Char"/>
    <w:basedOn w:val="DefaultParagraphFont"/>
    <w:link w:val="Heading5"/>
    <w:rsid w:val="002C3675"/>
    <w:rPr>
      <w:rFonts w:ascii="Times New Roman" w:eastAsia="Times New Roman" w:hAnsi="Times New Roman" w:cs="Arial"/>
      <w:bCs/>
      <w:i/>
      <w:sz w:val="24"/>
      <w:szCs w:val="24"/>
      <w:u w:val="single"/>
    </w:rPr>
  </w:style>
  <w:style w:type="character" w:customStyle="1" w:styleId="Heading6Char">
    <w:name w:val="Heading 6 Char"/>
    <w:basedOn w:val="DefaultParagraphFont"/>
    <w:link w:val="Heading6"/>
    <w:rsid w:val="002C3675"/>
    <w:rPr>
      <w:rFonts w:ascii="Times New Roman" w:eastAsia="Times New Roman" w:hAnsi="Times New Roman" w:cs="Arial"/>
      <w:b/>
      <w:bCs/>
      <w:sz w:val="24"/>
      <w:szCs w:val="24"/>
    </w:rPr>
  </w:style>
  <w:style w:type="character" w:customStyle="1" w:styleId="Heading7Char">
    <w:name w:val="Heading 7 Char"/>
    <w:basedOn w:val="DefaultParagraphFont"/>
    <w:link w:val="Heading7"/>
    <w:rsid w:val="002C3675"/>
    <w:rPr>
      <w:rFonts w:ascii="Arial" w:eastAsia="Times New Roman" w:hAnsi="Arial" w:cs="Arial"/>
      <w:b/>
      <w:bCs/>
      <w:sz w:val="36"/>
      <w:szCs w:val="36"/>
    </w:rPr>
  </w:style>
  <w:style w:type="character" w:customStyle="1" w:styleId="Heading8Char">
    <w:name w:val="Heading 8 Char"/>
    <w:basedOn w:val="DefaultParagraphFont"/>
    <w:link w:val="Heading8"/>
    <w:rsid w:val="002C3675"/>
    <w:rPr>
      <w:rFonts w:ascii="Tms Rmn" w:eastAsia="Times New Roman" w:hAnsi="Tms Rmn" w:cs="Times New Roman"/>
      <w:i/>
      <w:iCs/>
      <w:sz w:val="20"/>
      <w:szCs w:val="20"/>
    </w:rPr>
  </w:style>
  <w:style w:type="character" w:customStyle="1" w:styleId="Heading9Char">
    <w:name w:val="Heading 9 Char"/>
    <w:basedOn w:val="DefaultParagraphFont"/>
    <w:link w:val="Heading9"/>
    <w:rsid w:val="002C3675"/>
    <w:rPr>
      <w:rFonts w:ascii="Tms Rmn" w:eastAsia="Times New Roman" w:hAnsi="Tms Rmn" w:cs="Times New Roman"/>
      <w:i/>
      <w:iCs/>
      <w:sz w:val="20"/>
      <w:szCs w:val="20"/>
    </w:rPr>
  </w:style>
  <w:style w:type="paragraph" w:customStyle="1" w:styleId="pJ">
    <w:name w:val="pJ"/>
    <w:next w:val="Normal"/>
    <w:rsid w:val="002C3675"/>
    <w:pPr>
      <w:spacing w:after="130" w:line="320" w:lineRule="atLeast"/>
      <w:ind w:left="720" w:hanging="432"/>
      <w:jc w:val="both"/>
    </w:pPr>
    <w:rPr>
      <w:rFonts w:ascii="Times New Roman" w:eastAsia="Times New Roman" w:hAnsi="Times New Roman" w:cs="Times New Roman"/>
      <w:sz w:val="24"/>
      <w:szCs w:val="24"/>
    </w:rPr>
  </w:style>
  <w:style w:type="paragraph" w:customStyle="1" w:styleId="pB">
    <w:name w:val="pB"/>
    <w:basedOn w:val="Normal"/>
    <w:rsid w:val="002C3675"/>
    <w:pPr>
      <w:tabs>
        <w:tab w:val="left" w:pos="720"/>
        <w:tab w:val="left" w:pos="1080"/>
      </w:tabs>
      <w:ind w:right="288"/>
    </w:pPr>
  </w:style>
  <w:style w:type="paragraph" w:customStyle="1" w:styleId="pF">
    <w:name w:val="pF"/>
    <w:rsid w:val="002C3675"/>
    <w:pPr>
      <w:spacing w:after="130" w:line="320" w:lineRule="atLeast"/>
      <w:ind w:left="720" w:hanging="432"/>
      <w:jc w:val="both"/>
    </w:pPr>
    <w:rPr>
      <w:rFonts w:ascii="Times New Roman" w:eastAsia="Times New Roman" w:hAnsi="Times New Roman" w:cs="Times New Roman"/>
      <w:sz w:val="24"/>
      <w:szCs w:val="24"/>
    </w:rPr>
  </w:style>
  <w:style w:type="paragraph" w:customStyle="1" w:styleId="pS">
    <w:name w:val="pS"/>
    <w:rsid w:val="002C3675"/>
    <w:pPr>
      <w:tabs>
        <w:tab w:val="left" w:pos="720"/>
        <w:tab w:val="left" w:pos="1080"/>
      </w:tabs>
      <w:spacing w:after="130" w:line="320" w:lineRule="atLeast"/>
      <w:ind w:left="720" w:right="288" w:hanging="432"/>
      <w:jc w:val="both"/>
    </w:pPr>
    <w:rPr>
      <w:rFonts w:ascii="Times New Roman" w:eastAsia="Times New Roman" w:hAnsi="Times New Roman" w:cs="Times New Roman"/>
      <w:sz w:val="24"/>
      <w:szCs w:val="24"/>
    </w:rPr>
  </w:style>
  <w:style w:type="paragraph" w:customStyle="1" w:styleId="pD">
    <w:name w:val="pD"/>
    <w:basedOn w:val="pF"/>
    <w:rsid w:val="002C3675"/>
    <w:pPr>
      <w:tabs>
        <w:tab w:val="left" w:pos="1152"/>
      </w:tabs>
      <w:spacing w:before="60" w:line="280" w:lineRule="atLeast"/>
      <w:ind w:left="1152" w:right="288"/>
    </w:pPr>
  </w:style>
  <w:style w:type="paragraph" w:customStyle="1" w:styleId="pE">
    <w:name w:val="pE"/>
    <w:basedOn w:val="pD"/>
    <w:rsid w:val="002C3675"/>
    <w:pPr>
      <w:tabs>
        <w:tab w:val="clear" w:pos="1152"/>
      </w:tabs>
      <w:spacing w:line="240" w:lineRule="atLeast"/>
      <w:ind w:left="1440" w:hanging="288"/>
    </w:pPr>
  </w:style>
  <w:style w:type="paragraph" w:styleId="Index1">
    <w:name w:val="index 1"/>
    <w:basedOn w:val="Normal"/>
    <w:next w:val="Normal"/>
    <w:rsid w:val="002C3675"/>
    <w:rPr>
      <w:rFonts w:ascii="Tms Rmn" w:hAnsi="Tms Rmn"/>
    </w:rPr>
  </w:style>
  <w:style w:type="paragraph" w:styleId="Index2">
    <w:name w:val="index 2"/>
    <w:basedOn w:val="Normal"/>
    <w:next w:val="Normal"/>
    <w:rsid w:val="002C3675"/>
    <w:pPr>
      <w:ind w:left="360"/>
    </w:pPr>
    <w:rPr>
      <w:rFonts w:ascii="Tms Rmn" w:hAnsi="Tms Rmn"/>
    </w:rPr>
  </w:style>
  <w:style w:type="paragraph" w:styleId="Index3">
    <w:name w:val="index 3"/>
    <w:basedOn w:val="Normal"/>
    <w:next w:val="Normal"/>
    <w:rsid w:val="002C3675"/>
    <w:rPr>
      <w:rFonts w:ascii="Tms Rmn" w:hAnsi="Tms Rmn"/>
    </w:rPr>
  </w:style>
  <w:style w:type="paragraph" w:styleId="Index4">
    <w:name w:val="index 4"/>
    <w:basedOn w:val="Normal"/>
    <w:next w:val="Normal"/>
    <w:rsid w:val="002C3675"/>
    <w:rPr>
      <w:rFonts w:ascii="Tms Rmn" w:hAnsi="Tms Rmn"/>
    </w:rPr>
  </w:style>
  <w:style w:type="paragraph" w:styleId="Index5">
    <w:name w:val="index 5"/>
    <w:basedOn w:val="Normal"/>
    <w:next w:val="Normal"/>
    <w:rsid w:val="002C3675"/>
    <w:pPr>
      <w:ind w:left="1440"/>
    </w:pPr>
    <w:rPr>
      <w:rFonts w:ascii="Tms Rmn" w:hAnsi="Tms Rmn"/>
    </w:rPr>
  </w:style>
  <w:style w:type="paragraph" w:styleId="Index6">
    <w:name w:val="index 6"/>
    <w:basedOn w:val="Normal"/>
    <w:next w:val="Normal"/>
    <w:rsid w:val="002C3675"/>
    <w:pPr>
      <w:ind w:left="1800"/>
    </w:pPr>
    <w:rPr>
      <w:rFonts w:ascii="Tms Rmn" w:hAnsi="Tms Rmn"/>
    </w:rPr>
  </w:style>
  <w:style w:type="paragraph" w:styleId="Index7">
    <w:name w:val="index 7"/>
    <w:basedOn w:val="Normal"/>
    <w:next w:val="Normal"/>
    <w:rsid w:val="002C3675"/>
    <w:pPr>
      <w:ind w:left="2160"/>
    </w:pPr>
    <w:rPr>
      <w:rFonts w:ascii="Tms Rmn" w:hAnsi="Tms Rmn"/>
    </w:rPr>
  </w:style>
  <w:style w:type="paragraph" w:styleId="IndexHeading">
    <w:name w:val="index heading"/>
    <w:basedOn w:val="Normal"/>
    <w:next w:val="Index1"/>
    <w:rsid w:val="002C3675"/>
    <w:rPr>
      <w:rFonts w:ascii="Tms Rmn" w:hAnsi="Tms Rmn"/>
    </w:rPr>
  </w:style>
  <w:style w:type="character" w:styleId="LineNumber">
    <w:name w:val="line number"/>
    <w:basedOn w:val="DefaultParagraphFont"/>
    <w:rsid w:val="002C3675"/>
  </w:style>
  <w:style w:type="paragraph" w:customStyle="1" w:styleId="pA">
    <w:name w:val="pA"/>
    <w:rsid w:val="002C3675"/>
    <w:pPr>
      <w:spacing w:after="130" w:line="130" w:lineRule="exact"/>
      <w:ind w:left="720" w:hanging="432"/>
      <w:jc w:val="both"/>
    </w:pPr>
    <w:rPr>
      <w:rFonts w:ascii="Times New Roman" w:eastAsia="Times New Roman" w:hAnsi="Times New Roman" w:cs="Times New Roman"/>
      <w:sz w:val="24"/>
      <w:szCs w:val="24"/>
    </w:rPr>
  </w:style>
  <w:style w:type="paragraph" w:customStyle="1" w:styleId="pG">
    <w:name w:val="pG"/>
    <w:basedOn w:val="Normal"/>
    <w:rsid w:val="002C3675"/>
    <w:pPr>
      <w:keepNext/>
      <w:spacing w:after="130"/>
      <w:ind w:left="720" w:hanging="432"/>
    </w:pPr>
    <w:rPr>
      <w:rFonts w:ascii="Arial" w:hAnsi="Arial" w:cs="Arial"/>
      <w:b/>
      <w:bCs/>
    </w:rPr>
  </w:style>
  <w:style w:type="paragraph" w:customStyle="1" w:styleId="pT">
    <w:name w:val="pT"/>
    <w:basedOn w:val="Normal"/>
    <w:rsid w:val="002C3675"/>
    <w:pPr>
      <w:keepNext/>
      <w:spacing w:after="130"/>
      <w:ind w:left="720" w:hanging="432"/>
    </w:pPr>
    <w:rPr>
      <w:rFonts w:ascii="Arial" w:hAnsi="Arial" w:cs="Arial"/>
      <w:b/>
      <w:bCs/>
    </w:rPr>
  </w:style>
  <w:style w:type="paragraph" w:customStyle="1" w:styleId="pX">
    <w:name w:val="pX"/>
    <w:basedOn w:val="pF"/>
    <w:rsid w:val="002C3675"/>
    <w:pPr>
      <w:spacing w:line="240" w:lineRule="atLeast"/>
    </w:pPr>
  </w:style>
  <w:style w:type="paragraph" w:customStyle="1" w:styleId="TitlePage">
    <w:name w:val="Title Page"/>
    <w:basedOn w:val="Normal"/>
    <w:rsid w:val="002C3675"/>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2C3675"/>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2C3675"/>
    <w:pPr>
      <w:spacing w:before="0" w:after="0"/>
      <w:ind w:left="864" w:right="720" w:hanging="432"/>
    </w:pPr>
    <w:rPr>
      <w:b w:val="0"/>
      <w:bCs w:val="0"/>
    </w:rPr>
  </w:style>
  <w:style w:type="paragraph" w:styleId="TOC3">
    <w:name w:val="toc 3"/>
    <w:basedOn w:val="TOC1"/>
    <w:uiPriority w:val="39"/>
    <w:rsid w:val="002C3675"/>
    <w:pPr>
      <w:spacing w:before="0" w:after="0"/>
      <w:ind w:left="1296" w:right="720" w:hanging="432"/>
    </w:pPr>
    <w:rPr>
      <w:b w:val="0"/>
      <w:bCs w:val="0"/>
      <w:i/>
      <w:iCs/>
      <w:sz w:val="20"/>
      <w:szCs w:val="20"/>
    </w:rPr>
  </w:style>
  <w:style w:type="paragraph" w:styleId="TOC4">
    <w:name w:val="toc 4"/>
    <w:basedOn w:val="TOC1"/>
    <w:rsid w:val="002C3675"/>
    <w:pPr>
      <w:spacing w:before="0" w:after="0"/>
    </w:pPr>
    <w:rPr>
      <w:rFonts w:cs="Times New Roman"/>
      <w:b w:val="0"/>
      <w:bCs w:val="0"/>
      <w:sz w:val="20"/>
      <w:szCs w:val="20"/>
    </w:rPr>
  </w:style>
  <w:style w:type="paragraph" w:styleId="TOC5">
    <w:name w:val="toc 5"/>
    <w:basedOn w:val="TOC4"/>
    <w:next w:val="Normal"/>
    <w:rsid w:val="002C3675"/>
  </w:style>
  <w:style w:type="paragraph" w:styleId="EnvelopeAddress">
    <w:name w:val="envelope address"/>
    <w:basedOn w:val="Normal"/>
    <w:rsid w:val="002C3675"/>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2C3675"/>
    <w:pPr>
      <w:keepNext/>
      <w:spacing w:before="480" w:after="360" w:line="720" w:lineRule="exact"/>
    </w:pPr>
    <w:rPr>
      <w:rFonts w:ascii="Arial" w:hAnsi="Arial" w:cs="Arial"/>
      <w:b/>
      <w:bCs/>
      <w:i/>
      <w:iCs/>
      <w:sz w:val="72"/>
      <w:szCs w:val="72"/>
    </w:rPr>
  </w:style>
  <w:style w:type="paragraph" w:styleId="ListBullet">
    <w:name w:val="List Bullet"/>
    <w:basedOn w:val="Normal"/>
    <w:rsid w:val="002C3675"/>
    <w:pPr>
      <w:ind w:left="360"/>
    </w:pPr>
  </w:style>
  <w:style w:type="paragraph" w:customStyle="1" w:styleId="pA2">
    <w:name w:val="pA2"/>
    <w:basedOn w:val="pA"/>
    <w:next w:val="pA"/>
    <w:rsid w:val="002C3675"/>
  </w:style>
  <w:style w:type="paragraph" w:customStyle="1" w:styleId="resumeparagraph">
    <w:name w:val="resume paragraph"/>
    <w:rsid w:val="002C3675"/>
    <w:pPr>
      <w:spacing w:before="100" w:after="130" w:line="240" w:lineRule="exact"/>
      <w:ind w:left="720" w:hanging="288"/>
      <w:jc w:val="both"/>
    </w:pPr>
    <w:rPr>
      <w:rFonts w:ascii="Times New Roman" w:eastAsia="Times New Roman" w:hAnsi="Times New Roman" w:cs="Times New Roman"/>
      <w:sz w:val="24"/>
      <w:szCs w:val="24"/>
    </w:rPr>
  </w:style>
  <w:style w:type="paragraph" w:customStyle="1" w:styleId="Headline">
    <w:name w:val="Headline"/>
    <w:basedOn w:val="Normal"/>
    <w:rsid w:val="002C3675"/>
    <w:pPr>
      <w:spacing w:line="240" w:lineRule="auto"/>
    </w:pPr>
    <w:rPr>
      <w:b/>
      <w:bCs/>
      <w:sz w:val="36"/>
      <w:szCs w:val="36"/>
    </w:rPr>
  </w:style>
  <w:style w:type="paragraph" w:customStyle="1" w:styleId="projtitle">
    <w:name w:val="projtitle"/>
    <w:basedOn w:val="Normal"/>
    <w:next w:val="For"/>
    <w:rsid w:val="002C3675"/>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2C3675"/>
    <w:pPr>
      <w:tabs>
        <w:tab w:val="clear" w:pos="720"/>
        <w:tab w:val="clear" w:pos="1080"/>
        <w:tab w:val="left" w:pos="-1170"/>
      </w:tabs>
      <w:spacing w:after="240"/>
    </w:pPr>
  </w:style>
  <w:style w:type="paragraph" w:customStyle="1" w:styleId="For">
    <w:name w:val="For"/>
    <w:basedOn w:val="Normal"/>
    <w:next w:val="Contact"/>
    <w:rsid w:val="002C3675"/>
    <w:pPr>
      <w:keepNext/>
      <w:keepLines/>
      <w:tabs>
        <w:tab w:val="left" w:pos="720"/>
        <w:tab w:val="left" w:pos="1080"/>
      </w:tabs>
      <w:spacing w:line="280" w:lineRule="exact"/>
      <w:ind w:left="1152" w:right="288"/>
    </w:pPr>
  </w:style>
  <w:style w:type="paragraph" w:customStyle="1" w:styleId="Contact">
    <w:name w:val="Contact"/>
    <w:basedOn w:val="Normal"/>
    <w:next w:val="summary"/>
    <w:rsid w:val="002C3675"/>
    <w:pPr>
      <w:keepNext/>
      <w:keepLines/>
      <w:tabs>
        <w:tab w:val="left" w:pos="720"/>
        <w:tab w:val="left" w:pos="1080"/>
      </w:tabs>
      <w:spacing w:line="280" w:lineRule="exact"/>
      <w:ind w:left="1152" w:right="288"/>
    </w:pPr>
  </w:style>
  <w:style w:type="paragraph" w:customStyle="1" w:styleId="question">
    <w:name w:val="question"/>
    <w:basedOn w:val="pF"/>
    <w:rsid w:val="002C3675"/>
    <w:pPr>
      <w:ind w:hanging="720"/>
    </w:pPr>
  </w:style>
  <w:style w:type="paragraph" w:styleId="TOC6">
    <w:name w:val="toc 6"/>
    <w:basedOn w:val="Normal"/>
    <w:next w:val="Normal"/>
    <w:rsid w:val="002C3675"/>
    <w:pPr>
      <w:tabs>
        <w:tab w:val="right" w:leader="dot" w:pos="9000"/>
      </w:tabs>
      <w:spacing w:line="240" w:lineRule="auto"/>
      <w:ind w:left="1200"/>
    </w:pPr>
  </w:style>
  <w:style w:type="paragraph" w:customStyle="1" w:styleId="Variabledefinition">
    <w:name w:val="Variable definition"/>
    <w:basedOn w:val="pD"/>
    <w:rsid w:val="002C3675"/>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2C3675"/>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2C3675"/>
    <w:pPr>
      <w:tabs>
        <w:tab w:val="right" w:leader="dot" w:pos="9000"/>
      </w:tabs>
      <w:spacing w:before="120" w:after="130" w:line="240" w:lineRule="auto"/>
      <w:ind w:left="475" w:right="720" w:hanging="475"/>
    </w:pPr>
    <w:rPr>
      <w:rFonts w:ascii="Arial" w:hAnsi="Arial" w:cs="Arial"/>
    </w:rPr>
  </w:style>
  <w:style w:type="paragraph" w:styleId="DocumentMap">
    <w:name w:val="Document Map"/>
    <w:basedOn w:val="Normal"/>
    <w:link w:val="DocumentMapChar"/>
    <w:rsid w:val="002C3675"/>
    <w:pPr>
      <w:shd w:val="clear" w:color="auto" w:fill="000080"/>
    </w:pPr>
    <w:rPr>
      <w:rFonts w:ascii="Tahoma" w:hAnsi="Tahoma" w:cs="Tahoma"/>
    </w:rPr>
  </w:style>
  <w:style w:type="character" w:customStyle="1" w:styleId="DocumentMapChar">
    <w:name w:val="Document Map Char"/>
    <w:basedOn w:val="DefaultParagraphFont"/>
    <w:link w:val="DocumentMap"/>
    <w:rsid w:val="002C3675"/>
    <w:rPr>
      <w:rFonts w:ascii="Tahoma" w:eastAsia="Times New Roman" w:hAnsi="Tahoma" w:cs="Tahoma"/>
      <w:sz w:val="24"/>
      <w:szCs w:val="24"/>
      <w:shd w:val="clear" w:color="auto" w:fill="000080"/>
    </w:rPr>
  </w:style>
  <w:style w:type="character" w:styleId="PageNumber">
    <w:name w:val="page number"/>
    <w:basedOn w:val="DefaultParagraphFont"/>
    <w:rsid w:val="002C3675"/>
  </w:style>
  <w:style w:type="table" w:styleId="TableGrid">
    <w:name w:val="Table Grid"/>
    <w:basedOn w:val="TableNormal"/>
    <w:rsid w:val="002C3675"/>
    <w:pPr>
      <w:spacing w:after="130" w:line="320" w:lineRule="atLeast"/>
      <w:ind w:left="720" w:hanging="432"/>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2C3675"/>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10"/>
    <w:rsid w:val="002C3675"/>
    <w:rPr>
      <w:rFonts w:ascii="Arial" w:eastAsia="Times New Roman" w:hAnsi="Arial" w:cs="Times New Roman"/>
      <w:b/>
      <w:color w:val="17365D"/>
      <w:spacing w:val="5"/>
      <w:kern w:val="28"/>
      <w:sz w:val="40"/>
      <w:szCs w:val="52"/>
    </w:rPr>
  </w:style>
  <w:style w:type="character" w:styleId="Hyperlink">
    <w:name w:val="Hyperlink"/>
    <w:basedOn w:val="DefaultParagraphFont"/>
    <w:rsid w:val="002C3675"/>
    <w:rPr>
      <w:color w:val="0000FF"/>
      <w:u w:val="single"/>
    </w:rPr>
  </w:style>
  <w:style w:type="paragraph" w:customStyle="1" w:styleId="CEUSIndent5">
    <w:name w:val="CEUS_Indent5"/>
    <w:basedOn w:val="pE"/>
    <w:rsid w:val="002C3675"/>
    <w:pPr>
      <w:ind w:left="2070" w:hanging="432"/>
    </w:pPr>
    <w:rPr>
      <w:szCs w:val="20"/>
    </w:rPr>
  </w:style>
  <w:style w:type="paragraph" w:styleId="ListBullet2">
    <w:name w:val="List Bullet 2"/>
    <w:basedOn w:val="Normal"/>
    <w:rsid w:val="002C3675"/>
    <w:pPr>
      <w:numPr>
        <w:numId w:val="16"/>
      </w:numPr>
      <w:contextualSpacing/>
    </w:pPr>
  </w:style>
  <w:style w:type="numbering" w:customStyle="1" w:styleId="Itron">
    <w:name w:val="Itron"/>
    <w:uiPriority w:val="99"/>
    <w:rsid w:val="002C3675"/>
    <w:pPr>
      <w:numPr>
        <w:numId w:val="17"/>
      </w:numPr>
    </w:pPr>
  </w:style>
  <w:style w:type="numbering" w:customStyle="1" w:styleId="CnAListBullets">
    <w:name w:val="CnAListBullets"/>
    <w:rsid w:val="002C3675"/>
    <w:pPr>
      <w:numPr>
        <w:numId w:val="18"/>
      </w:numPr>
    </w:pPr>
  </w:style>
  <w:style w:type="paragraph" w:customStyle="1" w:styleId="CoverTitle">
    <w:name w:val="CoverTitle"/>
    <w:basedOn w:val="Normal"/>
    <w:link w:val="CoverTitleChar"/>
    <w:qFormat/>
    <w:rsid w:val="002C3675"/>
    <w:pPr>
      <w:spacing w:after="120"/>
      <w:jc w:val="center"/>
    </w:pPr>
    <w:rPr>
      <w:rFonts w:ascii="Arial" w:hAnsi="Arial"/>
      <w:b/>
      <w:sz w:val="40"/>
    </w:rPr>
  </w:style>
  <w:style w:type="character" w:customStyle="1" w:styleId="CoverTitleChar">
    <w:name w:val="CoverTitle Char"/>
    <w:basedOn w:val="DefaultParagraphFont"/>
    <w:link w:val="CoverTitle"/>
    <w:rsid w:val="002C3675"/>
    <w:rPr>
      <w:rFonts w:ascii="Arial" w:eastAsia="Times New Roman" w:hAnsi="Arial" w:cs="Times New Roman"/>
      <w:b/>
      <w:sz w:val="40"/>
      <w:szCs w:val="24"/>
    </w:rPr>
  </w:style>
  <w:style w:type="paragraph" w:customStyle="1" w:styleId="CoverNormal">
    <w:name w:val="CoverNormal"/>
    <w:basedOn w:val="Normal"/>
    <w:link w:val="CoverNormalChar"/>
    <w:qFormat/>
    <w:rsid w:val="002C3675"/>
    <w:pPr>
      <w:contextualSpacing/>
      <w:jc w:val="center"/>
    </w:pPr>
    <w:rPr>
      <w:rFonts w:ascii="Arial" w:hAnsi="Arial"/>
    </w:rPr>
  </w:style>
  <w:style w:type="character" w:customStyle="1" w:styleId="CoverNormalChar">
    <w:name w:val="CoverNormal Char"/>
    <w:basedOn w:val="DefaultParagraphFont"/>
    <w:link w:val="CoverNormal"/>
    <w:rsid w:val="002C3675"/>
    <w:rPr>
      <w:rFonts w:ascii="Arial" w:eastAsia="Times New Roman" w:hAnsi="Arial" w:cs="Times New Roman"/>
      <w:sz w:val="24"/>
      <w:szCs w:val="24"/>
    </w:rPr>
  </w:style>
  <w:style w:type="paragraph" w:customStyle="1" w:styleId="Halfline">
    <w:name w:val="Halfline"/>
    <w:basedOn w:val="Normal"/>
    <w:next w:val="Normal"/>
    <w:link w:val="HalflineChar"/>
    <w:qFormat/>
    <w:rsid w:val="002C3675"/>
    <w:pPr>
      <w:spacing w:after="130" w:line="130" w:lineRule="exact"/>
      <w:jc w:val="left"/>
    </w:pPr>
  </w:style>
  <w:style w:type="character" w:customStyle="1" w:styleId="HalflineChar">
    <w:name w:val="Halfline Char"/>
    <w:basedOn w:val="DefaultParagraphFont"/>
    <w:link w:val="Halfline"/>
    <w:rsid w:val="002C3675"/>
    <w:rPr>
      <w:rFonts w:ascii="Times New Roman" w:eastAsia="Times New Roman" w:hAnsi="Times New Roman" w:cs="Times New Roman"/>
      <w:sz w:val="24"/>
      <w:szCs w:val="24"/>
    </w:rPr>
  </w:style>
  <w:style w:type="paragraph" w:customStyle="1" w:styleId="LetterheadParagraph">
    <w:name w:val="Letterhead Paragraph"/>
    <w:basedOn w:val="Normal"/>
    <w:qFormat/>
    <w:rsid w:val="002C3675"/>
    <w:pPr>
      <w:spacing w:after="0"/>
    </w:pPr>
    <w:rPr>
      <w:rFonts w:ascii="Arial Narrow" w:hAnsi="Arial Narrow"/>
    </w:rPr>
  </w:style>
  <w:style w:type="character" w:customStyle="1" w:styleId="tablefootnoteChar">
    <w:name w:val="table footnote Char"/>
    <w:basedOn w:val="DefaultParagraphFont"/>
    <w:link w:val="tablefootnote"/>
    <w:rsid w:val="002C3675"/>
    <w:rPr>
      <w:rFonts w:ascii="Times New Roman" w:eastAsia="Times New Roman" w:hAnsi="Times New Roman" w:cs="Times New Roman"/>
      <w:sz w:val="20"/>
      <w:szCs w:val="20"/>
    </w:rPr>
  </w:style>
  <w:style w:type="paragraph" w:customStyle="1" w:styleId="TitleSub">
    <w:name w:val="TitleSub"/>
    <w:basedOn w:val="Title"/>
    <w:link w:val="TitleSubChar"/>
    <w:autoRedefine/>
    <w:qFormat/>
    <w:rsid w:val="002C3675"/>
    <w:rPr>
      <w:b w:val="0"/>
      <w:sz w:val="32"/>
    </w:rPr>
  </w:style>
  <w:style w:type="character" w:customStyle="1" w:styleId="TitleSubChar">
    <w:name w:val="TitleSub Char"/>
    <w:basedOn w:val="TitleChar"/>
    <w:link w:val="TitleSub"/>
    <w:rsid w:val="002C3675"/>
    <w:rPr>
      <w:sz w:val="32"/>
    </w:rPr>
  </w:style>
  <w:style w:type="paragraph" w:customStyle="1" w:styleId="TitleAdd">
    <w:name w:val="TitleAdd"/>
    <w:basedOn w:val="Title"/>
    <w:link w:val="TitleAddChar"/>
    <w:autoRedefine/>
    <w:qFormat/>
    <w:rsid w:val="002C3675"/>
    <w:rPr>
      <w:b w:val="0"/>
      <w:sz w:val="24"/>
      <w:szCs w:val="32"/>
    </w:rPr>
  </w:style>
  <w:style w:type="character" w:customStyle="1" w:styleId="TitleAddChar">
    <w:name w:val="TitleAdd Char"/>
    <w:basedOn w:val="TitleChar"/>
    <w:link w:val="TitleAdd"/>
    <w:rsid w:val="002C3675"/>
    <w:rPr>
      <w:sz w:val="24"/>
      <w:szCs w:val="32"/>
    </w:rPr>
  </w:style>
  <w:style w:type="table" w:customStyle="1" w:styleId="ItronBasic">
    <w:name w:val="ItronBasic"/>
    <w:basedOn w:val="TableNormal"/>
    <w:uiPriority w:val="99"/>
    <w:qFormat/>
    <w:rsid w:val="002B6928"/>
    <w:pPr>
      <w:spacing w:after="0" w:line="240" w:lineRule="auto"/>
    </w:pPr>
    <w:rPr>
      <w:rFonts w:ascii="Tms Rmn" w:eastAsia="Times New Roman" w:hAnsi="Tms Rmn" w:cs="Times New Roman"/>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paragraph" w:styleId="Revision">
    <w:name w:val="Revision"/>
    <w:hidden/>
    <w:uiPriority w:val="99"/>
    <w:semiHidden/>
    <w:rsid w:val="00F559C1"/>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323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90B73-0FBB-4822-B1BC-57841F1A2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4065</Words>
  <Characters>23177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KEMA</Company>
  <LinksUpToDate>false</LinksUpToDate>
  <CharactersWithSpaces>27188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Gaffney</dc:creator>
  <cp:lastModifiedBy>ALEXK</cp:lastModifiedBy>
  <cp:revision>5</cp:revision>
  <dcterms:created xsi:type="dcterms:W3CDTF">2011-11-04T03:31:00Z</dcterms:created>
  <dcterms:modified xsi:type="dcterms:W3CDTF">2011-11-08T19:49:00Z</dcterms:modified>
</cp:coreProperties>
</file>